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2DA37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00194549">
            <w:pPr>
              <w:pStyle w:val="19"/>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6483C182">
            <w:pPr>
              <w:pStyle w:val="19"/>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lang w:eastAsia="zh-CN"/>
              </w:rPr>
              <w:t>6</w:t>
            </w:r>
            <w:r>
              <w:rPr>
                <w:rFonts w:hint="eastAsia" w:ascii="黑体" w:hAnsi="黑体" w:eastAsia="黑体"/>
                <w:sz w:val="21"/>
                <w:szCs w:val="21"/>
                <w:lang w:val="en-US" w:eastAsia="zh-CN"/>
              </w:rPr>
              <w:t>7.200.20</w:t>
            </w:r>
            <w:r>
              <w:rPr>
                <w:rFonts w:ascii="黑体" w:hAnsi="黑体" w:eastAsia="黑体"/>
                <w:sz w:val="21"/>
                <w:szCs w:val="21"/>
              </w:rPr>
              <w:fldChar w:fldCharType="end"/>
            </w:r>
            <w:bookmarkEnd w:id="0"/>
          </w:p>
        </w:tc>
      </w:tr>
      <w:tr w14:paraId="2B65A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730E0D77">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30"/>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6E0972AD">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7D2776E7">
                  <w:pPr>
                    <w:pStyle w:val="53"/>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rPr>
                      <w:rFonts w:hint="eastAsia"/>
                    </w:rPr>
                    <w:t>CSTC</w:t>
                  </w:r>
                </w:p>
              </w:tc>
            </w:tr>
          </w:tbl>
          <w:p w14:paraId="7B81534D">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lang w:eastAsia="zh-CN"/>
              </w:rPr>
              <w:t>B</w:t>
            </w:r>
            <w:r>
              <w:rPr>
                <w:rFonts w:hint="eastAsia" w:ascii="黑体" w:hAnsi="黑体" w:eastAsia="黑体"/>
                <w:sz w:val="21"/>
                <w:szCs w:val="21"/>
                <w:lang w:val="en-US" w:eastAsia="zh-CN"/>
              </w:rPr>
              <w:t xml:space="preserve"> 33</w:t>
            </w:r>
            <w:r>
              <w:rPr>
                <w:rFonts w:ascii="黑体" w:hAnsi="黑体" w:eastAsia="黑体"/>
                <w:sz w:val="21"/>
                <w:szCs w:val="21"/>
              </w:rPr>
              <w:fldChar w:fldCharType="end"/>
            </w:r>
            <w:bookmarkEnd w:id="1"/>
          </w:p>
        </w:tc>
      </w:tr>
    </w:tbl>
    <w:p w14:paraId="759BB07E">
      <w:pPr>
        <w:pStyle w:val="54"/>
        <w:framePr w:w="9639" w:h="624" w:hRule="exact" w:hSpace="181" w:vSpace="181" w:wrap="around" w:hAnchor="page" w:x="1305" w:y="2269"/>
        <w:rPr>
          <w:rFonts w:hint="eastAsia" w:ascii="黑体" w:hAnsi="黑体" w:eastAsia="黑体"/>
          <w:b w:val="0"/>
          <w:bCs w:val="0"/>
          <w:w w:val="100"/>
          <w:sz w:val="48"/>
          <w:szCs w:val="48"/>
        </w:rPr>
      </w:pPr>
      <w:bookmarkStart w:id="2" w:name="_Hlk26473981"/>
      <w:r>
        <w:rPr>
          <w:rFonts w:hint="eastAsia" w:ascii="黑体" w:eastAsia="黑体"/>
          <w:b w:val="0"/>
          <w:w w:val="100"/>
          <w:sz w:val="48"/>
        </w:rPr>
        <w:t>中国热带作物学会团体</w:t>
      </w:r>
      <w:r>
        <w:rPr>
          <w:rFonts w:hint="eastAsia" w:ascii="黑体" w:hAnsi="黑体" w:eastAsia="黑体"/>
          <w:b w:val="0"/>
          <w:bCs w:val="0"/>
          <w:w w:val="100"/>
          <w:sz w:val="48"/>
          <w:szCs w:val="48"/>
        </w:rPr>
        <w:t>标准</w:t>
      </w:r>
    </w:p>
    <w:bookmarkEnd w:id="2"/>
    <w:p w14:paraId="70CEB679">
      <w:pPr>
        <w:pStyle w:val="199"/>
      </w:pPr>
      <w:r>
        <w:t>T/</w:t>
      </w:r>
      <w:r>
        <w:fldChar w:fldCharType="begin">
          <w:ffData>
            <w:name w:val="文字1"/>
            <w:enabled/>
            <w:calcOnExit w:val="0"/>
            <w:textInput>
              <w:default w:val="XXX"/>
            </w:textInput>
          </w:ffData>
        </w:fldChar>
      </w:r>
      <w:bookmarkStart w:id="3" w:name="文字1"/>
      <w:r>
        <w:instrText xml:space="preserve"> FORMTEXT </w:instrText>
      </w:r>
      <w:r>
        <w:fldChar w:fldCharType="separate"/>
      </w:r>
      <w:r>
        <w:t>XXX</w:t>
      </w:r>
      <w:r>
        <w:fldChar w:fldCharType="end"/>
      </w:r>
      <w:bookmarkEnd w:id="3"/>
      <w:r>
        <w:t xml:space="preserve"> </w:t>
      </w:r>
      <w:r>
        <w:fldChar w:fldCharType="begin">
          <w:ffData>
            <w:name w:val="NSTD_CODE_F"/>
            <w:enabled/>
            <w:calcOnExit w:val="0"/>
            <w:textInput>
              <w:default w:val="XXXX"/>
            </w:textInput>
          </w:ffData>
        </w:fldChar>
      </w:r>
      <w:bookmarkStart w:id="4" w:name="NSTD_CODE_F"/>
      <w:r>
        <w:instrText xml:space="preserve"> FORMTEXT </w:instrText>
      </w:r>
      <w:r>
        <w:fldChar w:fldCharType="separate"/>
      </w:r>
      <w:r>
        <w:t>XXXX</w:t>
      </w:r>
      <w:r>
        <w:fldChar w:fldCharType="end"/>
      </w:r>
      <w:bookmarkEnd w:id="4"/>
      <w:r>
        <w:rPr>
          <w:rFonts w:hAnsi="黑体"/>
        </w:rPr>
        <w:t>—</w:t>
      </w:r>
      <w:r>
        <w:fldChar w:fldCharType="begin">
          <w:ffData>
            <w:name w:val="NSTD_CODE_B"/>
            <w:enabled/>
            <w:calcOnExit w:val="0"/>
            <w:textInput>
              <w:default w:val="XXXX"/>
            </w:textInput>
          </w:ffData>
        </w:fldChar>
      </w:r>
      <w:bookmarkStart w:id="5" w:name="NSTD_CODE_B"/>
      <w:r>
        <w:instrText xml:space="preserve"> FORMTEXT </w:instrText>
      </w:r>
      <w:r>
        <w:fldChar w:fldCharType="separate"/>
      </w:r>
      <w:r>
        <w:t>XXXX</w:t>
      </w:r>
      <w:r>
        <w:fldChar w:fldCharType="end"/>
      </w:r>
      <w:bookmarkEnd w:id="5"/>
    </w:p>
    <w:p w14:paraId="453B44F4">
      <w:pPr>
        <w:pStyle w:val="200"/>
        <w:rPr>
          <w:rFonts w:hint="eastAsia" w:hAnsi="黑体"/>
        </w:rPr>
      </w:pPr>
      <w:r>
        <w:rPr>
          <w:rFonts w:hAnsi="黑体"/>
        </w:rPr>
        <w:fldChar w:fldCharType="begin">
          <w:ffData>
            <w:name w:val="OSTD_CODE"/>
            <w:enabled/>
            <w:calcOnExit w:val="0"/>
            <w:textInput/>
          </w:ffData>
        </w:fldChar>
      </w:r>
      <w:bookmarkStart w:id="6"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6"/>
    </w:p>
    <w:p w14:paraId="0DD12E5E">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2CEC8AF1">
      <w:pPr>
        <w:pStyle w:val="54"/>
        <w:framePr w:w="9639" w:h="6976" w:hRule="exact" w:hSpace="0" w:vSpace="0" w:wrap="around" w:hAnchor="page" w:y="6408"/>
        <w:jc w:val="center"/>
        <w:rPr>
          <w:rFonts w:hint="eastAsia" w:ascii="黑体" w:hAnsi="黑体" w:eastAsia="黑体"/>
          <w:b w:val="0"/>
          <w:bCs w:val="0"/>
          <w:w w:val="100"/>
        </w:rPr>
      </w:pPr>
    </w:p>
    <w:p w14:paraId="099AFB46">
      <w:pPr>
        <w:pStyle w:val="201"/>
        <w:framePr w:h="6974" w:hRule="exact" w:wrap="around" w:x="1419" w:anchorLock="1"/>
        <w:rPr>
          <w:rFonts w:hint="eastAsia"/>
        </w:rPr>
      </w:pPr>
      <w:bookmarkStart w:id="7" w:name="OLE_LINK4"/>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Pr>
          <w:rFonts w:hint="eastAsia"/>
        </w:rPr>
        <w:t xml:space="preserve">兴隆咖啡师劳务品牌  </w:t>
      </w:r>
      <w:bookmarkStart w:id="165" w:name="_GoBack"/>
      <w:bookmarkEnd w:id="165"/>
      <w:r>
        <w:rPr>
          <w:rFonts w:hint="eastAsia"/>
        </w:rPr>
        <w:t>种植基地建设及评价规范</w:t>
      </w:r>
      <w:r>
        <w:fldChar w:fldCharType="end"/>
      </w:r>
      <w:bookmarkEnd w:id="7"/>
      <w:bookmarkEnd w:id="8"/>
    </w:p>
    <w:p w14:paraId="19A656FE">
      <w:pPr>
        <w:framePr w:w="9639" w:h="6974" w:hRule="exact" w:wrap="around" w:vAnchor="page" w:hAnchor="page" w:x="1419" w:y="6408" w:anchorLock="1"/>
        <w:ind w:left="-1418"/>
      </w:pPr>
    </w:p>
    <w:p w14:paraId="1D640858">
      <w:pPr>
        <w:pStyle w:val="129"/>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9" w:name="ESTD_NAME"/>
      <w:r>
        <w:rPr>
          <w:rFonts w:eastAsia="黑体"/>
          <w:szCs w:val="28"/>
        </w:rPr>
        <w:instrText xml:space="preserve"> FORMTEXT </w:instrText>
      </w:r>
      <w:r>
        <w:rPr>
          <w:rFonts w:eastAsia="黑体"/>
          <w:szCs w:val="28"/>
        </w:rPr>
        <w:fldChar w:fldCharType="separate"/>
      </w:r>
      <w:r>
        <w:rPr>
          <w:rFonts w:hint="eastAsia" w:eastAsia="黑体"/>
          <w:szCs w:val="28"/>
        </w:rPr>
        <w:t>The labor service brand of Xinglong coffee baristas—Specifications for the construction and evaluation of the planting base</w:t>
      </w:r>
      <w:r>
        <w:rPr>
          <w:rFonts w:eastAsia="黑体"/>
          <w:szCs w:val="28"/>
        </w:rPr>
        <w:fldChar w:fldCharType="end"/>
      </w:r>
      <w:bookmarkEnd w:id="9"/>
    </w:p>
    <w:p w14:paraId="21A0E90B">
      <w:pPr>
        <w:framePr w:w="9639" w:h="6974" w:hRule="exact" w:wrap="around" w:vAnchor="page" w:hAnchor="page" w:x="1419" w:y="6408" w:anchorLock="1"/>
        <w:spacing w:line="760" w:lineRule="exact"/>
        <w:ind w:left="-1418"/>
      </w:pPr>
    </w:p>
    <w:p w14:paraId="35191301">
      <w:pPr>
        <w:pStyle w:val="129"/>
        <w:framePr w:w="9639" w:h="6974" w:hRule="exact" w:wrap="around" w:vAnchor="page" w:hAnchor="page" w:x="1419" w:y="6408" w:anchorLock="1"/>
        <w:textAlignment w:val="bottom"/>
        <w:rPr>
          <w:rFonts w:eastAsia="黑体"/>
          <w:szCs w:val="28"/>
        </w:rPr>
      </w:pPr>
    </w:p>
    <w:p w14:paraId="1DFAD632">
      <w:pPr>
        <w:pStyle w:val="129"/>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fldChar w:fldCharType="separate"/>
      </w:r>
      <w:r>
        <w:rPr>
          <w:sz w:val="24"/>
          <w:szCs w:val="28"/>
        </w:rPr>
        <w:fldChar w:fldCharType="end"/>
      </w:r>
      <w:bookmarkEnd w:id="10"/>
    </w:p>
    <w:p w14:paraId="3AF804EC">
      <w:pPr>
        <w:pStyle w:val="129"/>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1"/>
    </w:p>
    <w:p w14:paraId="57E19385">
      <w:pPr>
        <w:pStyle w:val="129"/>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fldChar w:fldCharType="separate"/>
      </w:r>
      <w:r>
        <w:rPr>
          <w:b/>
          <w:sz w:val="21"/>
          <w:szCs w:val="28"/>
        </w:rPr>
        <w:fldChar w:fldCharType="end"/>
      </w:r>
      <w:bookmarkEnd w:id="12"/>
    </w:p>
    <w:p w14:paraId="03E54197">
      <w:pPr>
        <w:pStyle w:val="197"/>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hint="eastAsia"/>
        </w:rPr>
        <w:t>发布</w:t>
      </w:r>
    </w:p>
    <w:p w14:paraId="0D120364">
      <w:pPr>
        <w:pStyle w:val="198"/>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hint="eastAsia"/>
        </w:rPr>
        <w:t>实施</w:t>
      </w:r>
    </w:p>
    <w:p w14:paraId="0718DC63">
      <w:pPr>
        <w:pStyle w:val="155"/>
        <w:framePr w:h="584" w:hRule="exact" w:hSpace="181" w:vSpace="181" w:wrap="around" w:y="14800"/>
        <w:rPr>
          <w:rFonts w:hint="eastAsia" w:hAnsi="黑体"/>
        </w:rPr>
      </w:pPr>
      <w:r>
        <w:rPr>
          <w:rFonts w:hint="eastAsia" w:hAnsi="黑体"/>
          <w:w w:val="100"/>
          <w:sz w:val="28"/>
        </w:rPr>
        <w:t>中国热带作物学会</w:t>
      </w:r>
      <w:r>
        <w:rPr>
          <w:rFonts w:ascii="Times New Roman"/>
          <w:w w:val="100"/>
          <w:sz w:val="28"/>
        </w:rPr>
        <w:t>  </w:t>
      </w:r>
      <w:r>
        <w:rPr>
          <w:rStyle w:val="233"/>
          <w:rFonts w:hint="eastAsia" w:hAnsi="黑体"/>
          <w:position w:val="0"/>
        </w:rPr>
        <w:t>发</w:t>
      </w:r>
      <w:r>
        <w:rPr>
          <w:rStyle w:val="233"/>
          <w:rFonts w:hint="eastAsia" w:hAnsi="黑体"/>
          <w:spacing w:val="0"/>
          <w:position w:val="0"/>
        </w:rPr>
        <w:t>布</w:t>
      </w:r>
    </w:p>
    <w:p w14:paraId="5FCB7943">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1BF7DB21">
      <w:pPr>
        <w:pStyle w:val="93"/>
        <w:spacing w:before="900" w:after="360"/>
      </w:pPr>
      <w:bookmarkStart w:id="19" w:name="BookMark2"/>
      <w:r>
        <w:rPr>
          <w:spacing w:val="320"/>
        </w:rPr>
        <w:t>前</w:t>
      </w:r>
      <w:r>
        <w:t>言</w:t>
      </w:r>
    </w:p>
    <w:p w14:paraId="0E9E4806">
      <w:pPr>
        <w:pStyle w:val="60"/>
        <w:ind w:firstLine="420"/>
      </w:pPr>
      <w:r>
        <w:rPr>
          <w:rFonts w:hint="eastAsia"/>
        </w:rPr>
        <w:t>本文件按照GB/T 1.1—2020《标准化工作导则  第1部分：标准化文件的结构和起草规则》的规定起草。</w:t>
      </w:r>
    </w:p>
    <w:p w14:paraId="693DC925">
      <w:pPr>
        <w:pStyle w:val="60"/>
        <w:ind w:firstLine="420"/>
      </w:pPr>
      <w:r>
        <w:rPr>
          <w:rFonts w:hint="eastAsia" w:hAnsi="宋体" w:cs="宋体"/>
          <w:szCs w:val="21"/>
        </w:rPr>
        <w:t>本文件是T/CSTC XXX《</w:t>
      </w:r>
      <w:r>
        <w:rPr>
          <w:rFonts w:hint="eastAsia"/>
        </w:rPr>
        <w:t>兴隆咖啡师劳务品牌</w:t>
      </w:r>
      <w:r>
        <w:rPr>
          <w:rFonts w:hint="eastAsia" w:hAnsi="宋体" w:cs="宋体"/>
          <w:szCs w:val="21"/>
        </w:rPr>
        <w:t>》的第8部分。T/CSTC XXX包含以下部分：</w:t>
      </w:r>
    </w:p>
    <w:p w14:paraId="025A8EC6">
      <w:pPr>
        <w:pStyle w:val="60"/>
        <w:ind w:firstLine="420"/>
        <w:rPr>
          <w:rFonts w:hint="eastAsia" w:hAnsi="宋体" w:cs="宋体"/>
          <w:szCs w:val="21"/>
        </w:rPr>
      </w:pPr>
      <w:r>
        <w:rPr>
          <w:rFonts w:hint="eastAsia" w:hAnsi="宋体" w:cs="宋体"/>
          <w:szCs w:val="21"/>
        </w:rPr>
        <w:t>——第1部分：兴隆咖啡师劳务品牌  种植类人员能力评定规范。</w:t>
      </w:r>
    </w:p>
    <w:p w14:paraId="6723FED8">
      <w:pPr>
        <w:pStyle w:val="60"/>
        <w:ind w:firstLine="420"/>
        <w:rPr>
          <w:rFonts w:hint="eastAsia" w:hAnsi="宋体" w:cs="宋体"/>
          <w:szCs w:val="21"/>
        </w:rPr>
      </w:pPr>
      <w:r>
        <w:rPr>
          <w:rFonts w:hint="eastAsia" w:hAnsi="宋体" w:cs="宋体"/>
          <w:szCs w:val="21"/>
        </w:rPr>
        <w:t>——第</w:t>
      </w:r>
      <w:r>
        <w:rPr>
          <w:rFonts w:hAnsi="宋体" w:cs="宋体"/>
          <w:szCs w:val="21"/>
        </w:rPr>
        <w:t>2</w:t>
      </w:r>
      <w:r>
        <w:rPr>
          <w:rFonts w:hint="eastAsia" w:hAnsi="宋体" w:cs="宋体"/>
          <w:szCs w:val="21"/>
        </w:rPr>
        <w:t>部分：兴隆咖啡师劳务品牌  初加工人员能力评定规范。</w:t>
      </w:r>
    </w:p>
    <w:p w14:paraId="6AF49828">
      <w:pPr>
        <w:pStyle w:val="60"/>
        <w:ind w:firstLine="420"/>
        <w:rPr>
          <w:rFonts w:hint="eastAsia" w:hAnsi="宋体" w:cs="宋体"/>
          <w:szCs w:val="21"/>
        </w:rPr>
      </w:pPr>
      <w:r>
        <w:rPr>
          <w:rFonts w:hint="eastAsia" w:hAnsi="宋体" w:cs="宋体"/>
          <w:szCs w:val="21"/>
        </w:rPr>
        <w:t>——第</w:t>
      </w:r>
      <w:r>
        <w:rPr>
          <w:rFonts w:hAnsi="宋体" w:cs="宋体"/>
          <w:szCs w:val="21"/>
        </w:rPr>
        <w:t>3</w:t>
      </w:r>
      <w:r>
        <w:rPr>
          <w:rFonts w:hint="eastAsia" w:hAnsi="宋体" w:cs="宋体"/>
          <w:szCs w:val="21"/>
        </w:rPr>
        <w:t>部分：兴隆咖啡师劳务品牌  焙炒加工人员能力评定规范。</w:t>
      </w:r>
    </w:p>
    <w:p w14:paraId="447E38C2">
      <w:pPr>
        <w:pStyle w:val="60"/>
        <w:ind w:firstLine="420"/>
        <w:rPr>
          <w:rFonts w:hint="eastAsia" w:hAnsi="宋体" w:cs="宋体"/>
          <w:szCs w:val="21"/>
        </w:rPr>
      </w:pPr>
      <w:r>
        <w:rPr>
          <w:rFonts w:hint="eastAsia" w:hAnsi="宋体" w:cs="宋体"/>
          <w:szCs w:val="21"/>
        </w:rPr>
        <w:t>——第</w:t>
      </w:r>
      <w:r>
        <w:rPr>
          <w:rFonts w:hAnsi="宋体" w:cs="宋体"/>
          <w:szCs w:val="21"/>
        </w:rPr>
        <w:t>4</w:t>
      </w:r>
      <w:r>
        <w:rPr>
          <w:rFonts w:hint="eastAsia" w:hAnsi="宋体" w:cs="宋体"/>
          <w:szCs w:val="21"/>
        </w:rPr>
        <w:t>部分：兴隆咖啡师劳务品牌  饮品制作人员能力评定规范。</w:t>
      </w:r>
    </w:p>
    <w:p w14:paraId="395438A1">
      <w:pPr>
        <w:pStyle w:val="60"/>
        <w:ind w:firstLine="420"/>
        <w:rPr>
          <w:rFonts w:hint="eastAsia" w:hAnsi="宋体" w:cs="宋体"/>
          <w:szCs w:val="21"/>
        </w:rPr>
      </w:pPr>
      <w:r>
        <w:rPr>
          <w:rFonts w:hint="eastAsia" w:hAnsi="宋体" w:cs="宋体"/>
          <w:szCs w:val="21"/>
        </w:rPr>
        <w:t>——第</w:t>
      </w:r>
      <w:r>
        <w:rPr>
          <w:rFonts w:hAnsi="宋体" w:cs="宋体"/>
          <w:szCs w:val="21"/>
        </w:rPr>
        <w:t>5</w:t>
      </w:r>
      <w:r>
        <w:rPr>
          <w:rFonts w:hint="eastAsia" w:hAnsi="宋体" w:cs="宋体"/>
          <w:szCs w:val="21"/>
        </w:rPr>
        <w:t>部分：兴隆咖啡师劳务品牌  深加工人员能力评定规范。</w:t>
      </w:r>
    </w:p>
    <w:p w14:paraId="6F0D3D45">
      <w:pPr>
        <w:pStyle w:val="60"/>
        <w:ind w:firstLine="420"/>
        <w:rPr>
          <w:rFonts w:hint="eastAsia" w:hAnsi="宋体" w:cs="宋体"/>
          <w:szCs w:val="21"/>
        </w:rPr>
      </w:pPr>
      <w:r>
        <w:rPr>
          <w:rFonts w:hint="eastAsia" w:hAnsi="宋体" w:cs="宋体"/>
          <w:szCs w:val="21"/>
        </w:rPr>
        <w:t>——第</w:t>
      </w:r>
      <w:r>
        <w:rPr>
          <w:rFonts w:hAnsi="宋体" w:cs="宋体"/>
          <w:szCs w:val="21"/>
        </w:rPr>
        <w:t>6</w:t>
      </w:r>
      <w:r>
        <w:rPr>
          <w:rFonts w:hint="eastAsia" w:hAnsi="宋体" w:cs="宋体"/>
          <w:szCs w:val="21"/>
        </w:rPr>
        <w:t>部分：兴隆咖啡师劳务品牌  门店服务类人员能力评定规范。</w:t>
      </w:r>
    </w:p>
    <w:p w14:paraId="69F47687">
      <w:pPr>
        <w:pStyle w:val="60"/>
        <w:ind w:firstLine="420"/>
        <w:rPr>
          <w:rFonts w:hint="eastAsia" w:hAnsi="宋体" w:cs="宋体"/>
          <w:szCs w:val="21"/>
        </w:rPr>
      </w:pPr>
      <w:r>
        <w:rPr>
          <w:rFonts w:hint="eastAsia" w:hAnsi="宋体" w:cs="宋体"/>
          <w:szCs w:val="21"/>
        </w:rPr>
        <w:t>——第</w:t>
      </w:r>
      <w:r>
        <w:rPr>
          <w:rFonts w:hAnsi="宋体" w:cs="宋体"/>
          <w:szCs w:val="21"/>
        </w:rPr>
        <w:t>7</w:t>
      </w:r>
      <w:r>
        <w:rPr>
          <w:rFonts w:hint="eastAsia" w:hAnsi="宋体" w:cs="宋体"/>
          <w:szCs w:val="21"/>
        </w:rPr>
        <w:t>部分：兴隆咖啡师劳务品牌  终端门店服务及评价规范。</w:t>
      </w:r>
    </w:p>
    <w:p w14:paraId="6273F9A0">
      <w:pPr>
        <w:pStyle w:val="60"/>
        <w:ind w:firstLine="420"/>
        <w:rPr>
          <w:rFonts w:hint="eastAsia" w:hAnsi="宋体" w:cs="宋体"/>
          <w:szCs w:val="21"/>
        </w:rPr>
      </w:pPr>
      <w:r>
        <w:rPr>
          <w:rFonts w:hint="eastAsia" w:hAnsi="宋体" w:cs="宋体"/>
          <w:szCs w:val="21"/>
        </w:rPr>
        <w:t>——第</w:t>
      </w:r>
      <w:r>
        <w:rPr>
          <w:rFonts w:hAnsi="宋体" w:cs="宋体"/>
          <w:szCs w:val="21"/>
        </w:rPr>
        <w:t>8</w:t>
      </w:r>
      <w:r>
        <w:rPr>
          <w:rFonts w:hint="eastAsia" w:hAnsi="宋体" w:cs="宋体"/>
          <w:szCs w:val="21"/>
        </w:rPr>
        <w:t>部分：兴隆咖啡师劳务品牌  种植基地建设及评价规范。</w:t>
      </w:r>
    </w:p>
    <w:p w14:paraId="163C4E23">
      <w:pPr>
        <w:pStyle w:val="60"/>
        <w:ind w:firstLine="420"/>
      </w:pPr>
      <w:r>
        <w:rPr>
          <w:rFonts w:hint="eastAsia" w:hAnsi="宋体" w:cs="宋体"/>
          <w:szCs w:val="21"/>
        </w:rPr>
        <w:t>——第</w:t>
      </w:r>
      <w:r>
        <w:rPr>
          <w:rFonts w:hAnsi="宋体" w:cs="宋体"/>
          <w:szCs w:val="21"/>
        </w:rPr>
        <w:t>9</w:t>
      </w:r>
      <w:r>
        <w:rPr>
          <w:rFonts w:hint="eastAsia" w:hAnsi="宋体" w:cs="宋体"/>
          <w:szCs w:val="21"/>
        </w:rPr>
        <w:t>部分：兴隆咖啡师劳务品牌  加工基地建设及评价规范。</w:t>
      </w:r>
    </w:p>
    <w:p w14:paraId="228E547B">
      <w:pPr>
        <w:pStyle w:val="60"/>
        <w:ind w:firstLine="420"/>
      </w:pPr>
      <w:r>
        <w:rPr>
          <w:rFonts w:hint="eastAsia"/>
        </w:rPr>
        <w:t>请注意本文件的某些内容可能涉及专利。本文件的发布机构不承担识别专利的责任。</w:t>
      </w:r>
    </w:p>
    <w:p w14:paraId="79823E69">
      <w:pPr>
        <w:pStyle w:val="60"/>
        <w:ind w:firstLine="420"/>
      </w:pPr>
      <w:r>
        <w:rPr>
          <w:rFonts w:hint="eastAsia"/>
        </w:rPr>
        <w:t>本文件由</w:t>
      </w:r>
      <w:r>
        <w:rPr>
          <w:rFonts w:hint="eastAsia" w:ascii="Times New Roman"/>
        </w:rPr>
        <w:t>中国热带作物学会</w:t>
      </w:r>
      <w:r>
        <w:rPr>
          <w:rFonts w:hint="eastAsia"/>
        </w:rPr>
        <w:t>提出并归口。</w:t>
      </w:r>
    </w:p>
    <w:p w14:paraId="14A14DD0">
      <w:pPr>
        <w:pStyle w:val="60"/>
        <w:ind w:firstLine="420"/>
      </w:pPr>
      <w:r>
        <w:rPr>
          <w:rFonts w:hint="eastAsia"/>
        </w:rPr>
        <w:t>本文件起草单位：中国热带农业科学院香料饮料研究所、云南农业大学</w:t>
      </w:r>
      <w:r>
        <w:rPr>
          <w:rFonts w:hint="eastAsia"/>
          <w:lang w:eastAsia="zh-CN"/>
        </w:rPr>
        <w:t>、</w:t>
      </w:r>
      <w:r>
        <w:rPr>
          <w:rFonts w:hint="eastAsia"/>
        </w:rPr>
        <w:t>西北政法大学、西南政法大学新闻传播学院、海南澄迈中等职业技术学校、万宁兴隆咖啡谷归国华侨联合会等</w:t>
      </w:r>
    </w:p>
    <w:p w14:paraId="0B32EE38">
      <w:pPr>
        <w:pStyle w:val="60"/>
        <w:ind w:firstLine="420"/>
        <w:rPr>
          <w:highlight w:val="yellow"/>
        </w:rPr>
        <w:sectPr>
          <w:headerReference r:id="rId11" w:type="default"/>
          <w:footerReference r:id="rId12" w:type="default"/>
          <w:pgSz w:w="11906" w:h="16838"/>
          <w:pgMar w:top="1928" w:right="1134" w:bottom="1134" w:left="1134" w:header="1418" w:footer="1134" w:gutter="284"/>
          <w:pgNumType w:fmt="upperRoman" w:start="1"/>
          <w:cols w:space="425" w:num="1"/>
          <w:formProt w:val="0"/>
          <w:docGrid w:linePitch="312" w:charSpace="0"/>
        </w:sectPr>
      </w:pPr>
      <w:r>
        <w:rPr>
          <w:rFonts w:hint="eastAsia"/>
        </w:rPr>
        <w:t>本文件主要起草人：闫林、蒋快东、孙江、蔡斐、李丽芬、黄海生、孙燕、庞永青、龙宇宙、黄永衡、郑何美、孙世伟。</w:t>
      </w:r>
    </w:p>
    <w:bookmarkEnd w:id="19"/>
    <w:p w14:paraId="3BE9A306">
      <w:pPr>
        <w:spacing w:line="20" w:lineRule="exact"/>
        <w:jc w:val="center"/>
        <w:rPr>
          <w:rFonts w:hint="eastAsia" w:ascii="黑体" w:hAnsi="黑体" w:eastAsia="黑体"/>
          <w:sz w:val="32"/>
          <w:szCs w:val="32"/>
        </w:rPr>
      </w:pPr>
      <w:bookmarkStart w:id="20" w:name="BookMark4"/>
    </w:p>
    <w:p w14:paraId="0D1FFE5D">
      <w:pPr>
        <w:spacing w:line="20" w:lineRule="exact"/>
        <w:jc w:val="center"/>
        <w:rPr>
          <w:rFonts w:hint="eastAsia" w:ascii="黑体" w:hAnsi="黑体" w:eastAsia="黑体"/>
          <w:sz w:val="32"/>
          <w:szCs w:val="32"/>
        </w:rPr>
      </w:pPr>
    </w:p>
    <w:p w14:paraId="1F6DFFD1">
      <w:pPr>
        <w:pStyle w:val="181"/>
        <w:rPr>
          <w:rFonts w:hint="eastAsia"/>
        </w:rPr>
      </w:pPr>
      <w:bookmarkStart w:id="21" w:name="NEW_STAND_NAME"/>
      <w:r>
        <w:rPr>
          <w:rFonts w:hint="eastAsia"/>
        </w:rPr>
        <w:t>兴隆咖啡师劳务品牌  种植基地建设及评价规范</w:t>
      </w:r>
      <w:bookmarkEnd w:id="21"/>
    </w:p>
    <w:p w14:paraId="59FBBA15">
      <w:pPr>
        <w:pStyle w:val="108"/>
        <w:spacing w:before="240" w:after="240"/>
        <w:ind w:left="0"/>
      </w:pPr>
      <w:bookmarkStart w:id="22" w:name="_Toc26986771"/>
      <w:bookmarkStart w:id="23" w:name="_Toc26718930"/>
      <w:bookmarkStart w:id="24" w:name="_Toc97192964"/>
      <w:bookmarkStart w:id="25" w:name="_Toc26648465"/>
      <w:bookmarkStart w:id="26" w:name="_Toc26986530"/>
      <w:bookmarkStart w:id="27" w:name="_Toc17233333"/>
      <w:bookmarkStart w:id="28" w:name="_Toc24884218"/>
      <w:bookmarkStart w:id="29" w:name="_Toc17233325"/>
      <w:bookmarkStart w:id="30" w:name="_Toc24884211"/>
      <w:r>
        <w:rPr>
          <w:rFonts w:hint="eastAsia"/>
        </w:rPr>
        <w:t>范围</w:t>
      </w:r>
      <w:bookmarkEnd w:id="22"/>
      <w:bookmarkEnd w:id="23"/>
      <w:bookmarkEnd w:id="24"/>
      <w:bookmarkEnd w:id="25"/>
      <w:bookmarkEnd w:id="26"/>
      <w:bookmarkEnd w:id="27"/>
      <w:bookmarkEnd w:id="28"/>
      <w:bookmarkEnd w:id="29"/>
      <w:bookmarkEnd w:id="30"/>
    </w:p>
    <w:p w14:paraId="291EAA92">
      <w:pPr>
        <w:pStyle w:val="60"/>
        <w:ind w:firstLine="420"/>
        <w:rPr>
          <w:szCs w:val="21"/>
        </w:rPr>
      </w:pPr>
      <w:bookmarkStart w:id="31" w:name="_Toc26986531"/>
      <w:bookmarkStart w:id="32" w:name="_Toc24884212"/>
      <w:bookmarkStart w:id="33" w:name="_Toc17233326"/>
      <w:bookmarkStart w:id="34" w:name="_Toc17233334"/>
      <w:bookmarkStart w:id="35" w:name="_Toc24884219"/>
      <w:bookmarkStart w:id="36" w:name="_Toc26648466"/>
      <w:bookmarkStart w:id="37" w:name="_Toc26718931"/>
      <w:bookmarkStart w:id="38" w:name="_Toc26986772"/>
      <w:bookmarkStart w:id="39" w:name="_Toc97192965"/>
      <w:r>
        <w:rPr>
          <w:rFonts w:hint="eastAsia"/>
        </w:rPr>
        <w:t>本文件规定了兴隆咖啡种植基地的建设原则、选址条件、基地布局、建设内容、种植管理、病虫害防治、收获与加工以及基地评价等方面的要求。</w:t>
      </w:r>
    </w:p>
    <w:p w14:paraId="18826EF2">
      <w:pPr>
        <w:pStyle w:val="60"/>
        <w:ind w:firstLine="420"/>
      </w:pPr>
      <w:r>
        <w:rPr>
          <w:rFonts w:hint="eastAsia"/>
        </w:rPr>
        <w:t>本文件适用于兴隆咖啡种植基地的新建、改建和扩建，以及对其建设成果的评价。</w:t>
      </w:r>
    </w:p>
    <w:p w14:paraId="5EE6ED77">
      <w:pPr>
        <w:pStyle w:val="108"/>
        <w:spacing w:before="240" w:after="240"/>
        <w:ind w:left="0"/>
      </w:pPr>
      <w:r>
        <w:rPr>
          <w:rFonts w:hint="eastAsia"/>
        </w:rPr>
        <w:t>规范性引用文件</w:t>
      </w:r>
      <w:bookmarkEnd w:id="31"/>
      <w:bookmarkEnd w:id="32"/>
      <w:bookmarkEnd w:id="33"/>
      <w:bookmarkEnd w:id="34"/>
      <w:bookmarkEnd w:id="35"/>
      <w:bookmarkEnd w:id="36"/>
      <w:bookmarkEnd w:id="37"/>
      <w:bookmarkEnd w:id="38"/>
      <w:bookmarkEnd w:id="39"/>
    </w:p>
    <w:sdt>
      <w:sdtPr>
        <w:rPr>
          <w:rFonts w:hint="eastAsia"/>
        </w:rPr>
        <w:id w:val="-1903353811"/>
        <w:placeholder>
          <w:docPart w:val="{c90a40af-dcdc-4f99-aeae-861f5d7e8b7b}"/>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5C30C6DF">
          <w:pPr>
            <w:pStyle w:val="60"/>
            <w:spacing w:line="400" w:lineRule="exact"/>
            <w:ind w:firstLine="420"/>
            <w:rPr>
              <w:rFonts w:ascii="Calibri" w:hAnsi="Calibri"/>
              <w:kern w:val="2"/>
              <w:szCs w:val="21"/>
            </w:rPr>
          </w:pPr>
          <w:bookmarkStart w:id="40" w:name="_Toc97192966"/>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64A2E47">
      <w:pPr>
        <w:pStyle w:val="60"/>
        <w:ind w:firstLine="420"/>
        <w:rPr>
          <w:szCs w:val="21"/>
        </w:rPr>
      </w:pPr>
      <w:r>
        <w:rPr>
          <w:rFonts w:hint="eastAsia"/>
        </w:rPr>
        <w:t>GB 5084  农田灌溉水质标准</w:t>
      </w:r>
    </w:p>
    <w:p w14:paraId="76DE4EC1">
      <w:pPr>
        <w:pStyle w:val="60"/>
        <w:ind w:firstLine="420"/>
      </w:pPr>
      <w:r>
        <w:rPr>
          <w:rFonts w:hint="eastAsia"/>
        </w:rPr>
        <w:t>GB/T 18007-2011  咖啡及其制品术语</w:t>
      </w:r>
    </w:p>
    <w:p w14:paraId="498030B5">
      <w:pPr>
        <w:pStyle w:val="60"/>
        <w:ind w:firstLine="420"/>
      </w:pPr>
      <w:r>
        <w:rPr>
          <w:rFonts w:hint="eastAsia"/>
        </w:rPr>
        <w:t>GB 50288  灌溉与排水工程设计规范</w:t>
      </w:r>
    </w:p>
    <w:p w14:paraId="55D96D7D">
      <w:pPr>
        <w:pStyle w:val="60"/>
        <w:ind w:firstLine="420"/>
      </w:pPr>
      <w:r>
        <w:rPr>
          <w:rFonts w:hint="eastAsia"/>
        </w:rPr>
        <w:t>NY/T 391  绿色食品产地环境技术条件</w:t>
      </w:r>
    </w:p>
    <w:p w14:paraId="114A372B">
      <w:pPr>
        <w:pStyle w:val="60"/>
        <w:ind w:firstLine="420"/>
      </w:pPr>
      <w:r>
        <w:rPr>
          <w:rFonts w:hint="eastAsia"/>
        </w:rPr>
        <w:t>NY/T 393  绿色食品农药使用准则</w:t>
      </w:r>
    </w:p>
    <w:p w14:paraId="67332F88">
      <w:pPr>
        <w:pStyle w:val="60"/>
        <w:ind w:firstLine="420"/>
      </w:pPr>
      <w:r>
        <w:rPr>
          <w:rFonts w:hint="eastAsia"/>
        </w:rPr>
        <w:t>NY/T 394  绿色食品肥料使用准则</w:t>
      </w:r>
    </w:p>
    <w:p w14:paraId="31B3561D">
      <w:pPr>
        <w:pStyle w:val="60"/>
        <w:ind w:firstLine="420"/>
      </w:pPr>
      <w:r>
        <w:rPr>
          <w:rFonts w:hint="eastAsia"/>
        </w:rPr>
        <w:t>NY/T 1698  小粒种咖啡病虫害防治技术规程</w:t>
      </w:r>
    </w:p>
    <w:p w14:paraId="47FB6AFB">
      <w:pPr>
        <w:pStyle w:val="60"/>
        <w:ind w:firstLine="420"/>
      </w:pPr>
      <w:r>
        <w:rPr>
          <w:rFonts w:hint="eastAsia"/>
        </w:rPr>
        <w:t>DB46/T 63  地理标志产品  兴隆咖啡</w:t>
      </w:r>
    </w:p>
    <w:p w14:paraId="1343EDDD">
      <w:pPr>
        <w:pStyle w:val="60"/>
        <w:ind w:firstLine="420"/>
      </w:pPr>
      <w:r>
        <w:rPr>
          <w:rFonts w:hint="eastAsia"/>
        </w:rPr>
        <w:t>T/HNBX 111  兴隆咖啡  种子</w:t>
      </w:r>
    </w:p>
    <w:p w14:paraId="3008E01F">
      <w:pPr>
        <w:pStyle w:val="60"/>
        <w:ind w:firstLine="420"/>
      </w:pPr>
      <w:r>
        <w:rPr>
          <w:rFonts w:hint="eastAsia"/>
        </w:rPr>
        <w:t>T/HNBX 112  兴隆咖啡  病虫害防治技术规范</w:t>
      </w:r>
    </w:p>
    <w:p w14:paraId="5F8ADEE0">
      <w:pPr>
        <w:pStyle w:val="60"/>
        <w:ind w:firstLine="420"/>
      </w:pPr>
      <w:r>
        <w:rPr>
          <w:rFonts w:hint="eastAsia"/>
        </w:rPr>
        <w:t>T/HNBX 113  兴隆咖啡  种苗繁育技术规程</w:t>
      </w:r>
    </w:p>
    <w:p w14:paraId="6D951A81">
      <w:pPr>
        <w:pStyle w:val="60"/>
        <w:ind w:firstLine="420"/>
      </w:pPr>
      <w:r>
        <w:rPr>
          <w:rFonts w:hint="eastAsia"/>
        </w:rPr>
        <w:t>T/HNBX 114  兴隆咖啡  种苗</w:t>
      </w:r>
    </w:p>
    <w:p w14:paraId="0C26AC9F">
      <w:pPr>
        <w:pStyle w:val="60"/>
        <w:ind w:firstLine="420"/>
      </w:pPr>
      <w:r>
        <w:rPr>
          <w:rFonts w:hint="eastAsia"/>
        </w:rPr>
        <w:t>T/HNBX 115  兴隆咖啡  栽培技术规程</w:t>
      </w:r>
    </w:p>
    <w:p w14:paraId="42B8F6A6">
      <w:pPr>
        <w:pStyle w:val="108"/>
        <w:spacing w:before="120" w:beforeLines="50" w:after="120" w:afterLines="50"/>
        <w:ind w:left="0"/>
      </w:pPr>
      <w:r>
        <w:rPr>
          <w:rFonts w:hint="eastAsia"/>
          <w:szCs w:val="21"/>
        </w:rPr>
        <w:t>术语和定义</w:t>
      </w:r>
      <w:bookmarkEnd w:id="40"/>
      <w:bookmarkStart w:id="41" w:name="_Toc26986532"/>
      <w:bookmarkEnd w:id="41"/>
    </w:p>
    <w:sdt>
      <w:sdtPr>
        <w:id w:val="491071722"/>
        <w:placeholder>
          <w:docPart w:val="7A21B029DB454661A2539B57A4F9B48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CDB228F">
          <w:pPr>
            <w:pStyle w:val="60"/>
            <w:spacing w:line="400" w:lineRule="exact"/>
            <w:ind w:firstLine="420"/>
            <w:rPr>
              <w:rFonts w:hint="eastAsia" w:ascii="黑体" w:hAnsi="黑体" w:eastAsia="黑体"/>
            </w:rPr>
          </w:pPr>
          <w:r>
            <w:t>下列术语和定义适用于本文件。</w:t>
          </w:r>
        </w:p>
      </w:sdtContent>
    </w:sdt>
    <w:p w14:paraId="0DC9A324">
      <w:pPr>
        <w:pStyle w:val="227"/>
        <w:spacing w:before="120" w:beforeLines="50" w:after="120" w:afterLines="50"/>
        <w:ind w:left="420" w:hanging="420" w:hangingChars="200"/>
        <w:rPr>
          <w:rFonts w:hint="eastAsia" w:ascii="黑体" w:hAnsi="黑体" w:eastAsia="黑体"/>
        </w:rPr>
      </w:pPr>
    </w:p>
    <w:p w14:paraId="0B8451BB">
      <w:pPr>
        <w:pStyle w:val="227"/>
        <w:numPr>
          <w:ilvl w:val="2"/>
          <w:numId w:val="0"/>
        </w:numPr>
        <w:snapToGrid w:val="0"/>
        <w:spacing w:line="400" w:lineRule="exact"/>
        <w:ind w:left="-420" w:leftChars="-200" w:right="420" w:rightChars="200" w:firstLine="840" w:firstLineChars="400"/>
        <w:rPr>
          <w:rFonts w:ascii="Times New Roman" w:eastAsia="黑体"/>
        </w:rPr>
      </w:pPr>
      <w:r>
        <w:rPr>
          <w:rFonts w:ascii="Times New Roman" w:eastAsia="黑体"/>
        </w:rPr>
        <w:t xml:space="preserve">兴隆咖啡种植基地 </w:t>
      </w:r>
      <w:r>
        <w:rPr>
          <w:rFonts w:hint="eastAsia" w:ascii="Times New Roman" w:eastAsia="黑体"/>
        </w:rPr>
        <w:t xml:space="preserve"> </w:t>
      </w:r>
      <w:r>
        <w:rPr>
          <w:rFonts w:ascii="Times New Roman" w:eastAsia="黑体"/>
        </w:rPr>
        <w:t xml:space="preserve">Xinglong coffee planting base </w:t>
      </w:r>
    </w:p>
    <w:p w14:paraId="6E402881">
      <w:pPr>
        <w:pStyle w:val="60"/>
        <w:ind w:firstLine="420"/>
      </w:pPr>
      <w:r>
        <w:rPr>
          <w:rFonts w:hint="eastAsia"/>
        </w:rPr>
        <w:t>具备一定种植规模、生产设施齐全、管理规范、基地环境优良，应满足兴隆咖啡稳产、安全、优质的种植基地。</w:t>
      </w:r>
    </w:p>
    <w:p w14:paraId="2E5ED832">
      <w:pPr>
        <w:pStyle w:val="183"/>
        <w:numPr>
          <w:ilvl w:val="0"/>
          <w:numId w:val="0"/>
        </w:numPr>
      </w:pPr>
    </w:p>
    <w:p w14:paraId="0798CF68">
      <w:pPr>
        <w:pStyle w:val="108"/>
        <w:snapToGrid w:val="0"/>
        <w:spacing w:before="240" w:after="240"/>
        <w:ind w:left="0"/>
      </w:pPr>
      <w:bookmarkStart w:id="42" w:name="_Toc191227254"/>
      <w:bookmarkStart w:id="43" w:name="_Toc191226973"/>
      <w:r>
        <w:rPr>
          <w:rFonts w:hint="eastAsia"/>
        </w:rPr>
        <w:t>建设原则</w:t>
      </w:r>
      <w:bookmarkEnd w:id="42"/>
      <w:bookmarkEnd w:id="43"/>
    </w:p>
    <w:p w14:paraId="0C598913">
      <w:pPr>
        <w:pStyle w:val="109"/>
        <w:snapToGrid w:val="0"/>
        <w:spacing w:before="120" w:after="120"/>
        <w:ind w:left="0"/>
      </w:pPr>
      <w:bookmarkStart w:id="44" w:name="_Toc191226974"/>
      <w:bookmarkStart w:id="45" w:name="_Toc191227255"/>
      <w:r>
        <w:rPr>
          <w:rFonts w:hint="eastAsia"/>
        </w:rPr>
        <w:t>规划协同与产业融合</w:t>
      </w:r>
      <w:bookmarkEnd w:id="44"/>
      <w:bookmarkEnd w:id="45"/>
    </w:p>
    <w:p w14:paraId="61EC4B88">
      <w:pPr>
        <w:pStyle w:val="60"/>
        <w:ind w:firstLine="420"/>
      </w:pPr>
      <w:r>
        <w:rPr>
          <w:rFonts w:hint="eastAsia"/>
        </w:rPr>
        <w:t>紧密对接国家及地区农业产业规</w:t>
      </w:r>
      <w:bookmarkStart w:id="46" w:name="OLE_LINK3"/>
      <w:r>
        <w:rPr>
          <w:rFonts w:hint="eastAsia"/>
        </w:rPr>
        <w:t>划，明确兴隆咖啡产</w:t>
      </w:r>
      <w:bookmarkEnd w:id="46"/>
      <w:r>
        <w:rPr>
          <w:rFonts w:hint="eastAsia"/>
        </w:rPr>
        <w:t>业定位与发展方向，确保与当地农业规划目标契合，促进咖啡产业和其他农业产业协同发展，构建完整产业体系。</w:t>
      </w:r>
    </w:p>
    <w:p w14:paraId="411A91FF">
      <w:pPr>
        <w:pStyle w:val="109"/>
        <w:snapToGrid w:val="0"/>
        <w:spacing w:before="120" w:after="120"/>
        <w:ind w:left="0"/>
      </w:pPr>
      <w:bookmarkStart w:id="47" w:name="_Toc191226975"/>
      <w:bookmarkStart w:id="48" w:name="_Toc191227256"/>
      <w:r>
        <w:rPr>
          <w:rFonts w:hint="eastAsia"/>
        </w:rPr>
        <w:t>土地合理利用与保护</w:t>
      </w:r>
      <w:bookmarkEnd w:id="47"/>
      <w:bookmarkEnd w:id="48"/>
    </w:p>
    <w:p w14:paraId="335FCB90">
      <w:pPr>
        <w:pStyle w:val="60"/>
        <w:ind w:firstLine="420"/>
      </w:pPr>
      <w:r>
        <w:rPr>
          <w:rFonts w:hint="eastAsia"/>
        </w:rPr>
        <w:t>严格遵循土地利用总体规划，合理配置土地资源，避免占用基本农田、生态保护区等重要资源，充分利用闲置土地，注重土地的可持续利用与改良，维护土地生产力和生态功能。</w:t>
      </w:r>
    </w:p>
    <w:p w14:paraId="7D112AAD">
      <w:pPr>
        <w:pStyle w:val="109"/>
        <w:snapToGrid w:val="0"/>
        <w:spacing w:before="120" w:after="120"/>
        <w:ind w:left="0"/>
      </w:pPr>
      <w:bookmarkStart w:id="49" w:name="_Toc191226976"/>
      <w:bookmarkStart w:id="50" w:name="_Toc191227257"/>
      <w:r>
        <w:rPr>
          <w:rFonts w:hint="eastAsia"/>
        </w:rPr>
        <w:t>因地制宜与适应性改良</w:t>
      </w:r>
      <w:bookmarkEnd w:id="49"/>
      <w:bookmarkEnd w:id="50"/>
    </w:p>
    <w:p w14:paraId="169F271C">
      <w:pPr>
        <w:pStyle w:val="60"/>
        <w:ind w:firstLine="420"/>
      </w:pPr>
      <w:r>
        <w:rPr>
          <w:rFonts w:hint="eastAsia"/>
        </w:rPr>
        <w:t>应根据当地气候、土壤、地形等自然条件以及市场需求，选择适宜的咖啡品种，并进行适应性改良，提高其生长适应性和抗病虫害能力。通过选育优良品种和改良种植技术，应确保咖啡树更好地适应当地环境，提升产量与品质。</w:t>
      </w:r>
    </w:p>
    <w:p w14:paraId="72AC252D">
      <w:pPr>
        <w:pStyle w:val="109"/>
        <w:snapToGrid w:val="0"/>
        <w:spacing w:before="120" w:after="120"/>
        <w:ind w:left="0"/>
      </w:pPr>
      <w:bookmarkStart w:id="51" w:name="_Toc191227258"/>
      <w:bookmarkStart w:id="52" w:name="_Toc191226977"/>
      <w:r>
        <w:rPr>
          <w:rFonts w:hint="eastAsia"/>
        </w:rPr>
        <w:t>设施适配与高效利用</w:t>
      </w:r>
      <w:bookmarkEnd w:id="51"/>
      <w:bookmarkEnd w:id="52"/>
    </w:p>
    <w:p w14:paraId="511B1E8A">
      <w:pPr>
        <w:pStyle w:val="60"/>
        <w:ind w:firstLine="420"/>
      </w:pPr>
      <w:r>
        <w:rPr>
          <w:rFonts w:hint="eastAsia"/>
        </w:rPr>
        <w:t>依据地形地貌合理布局种植区、道路、灌溉系统等设施，山地采用梯田式种植，平原采用规模化种植；应根据气候条件选择合适的种植设施和管理措施，提高土地利用效率和生产效率。</w:t>
      </w:r>
    </w:p>
    <w:p w14:paraId="186F8341">
      <w:pPr>
        <w:pStyle w:val="109"/>
        <w:snapToGrid w:val="0"/>
        <w:spacing w:before="120" w:after="120"/>
        <w:ind w:left="0"/>
      </w:pPr>
      <w:bookmarkStart w:id="53" w:name="_Toc191226978"/>
      <w:bookmarkStart w:id="54" w:name="_Toc191227259"/>
      <w:r>
        <w:rPr>
          <w:rFonts w:hint="eastAsia"/>
        </w:rPr>
        <w:t>生态环保与资源循环</w:t>
      </w:r>
      <w:bookmarkEnd w:id="53"/>
      <w:bookmarkEnd w:id="54"/>
    </w:p>
    <w:p w14:paraId="090B1667">
      <w:pPr>
        <w:pStyle w:val="60"/>
        <w:ind w:firstLine="420"/>
      </w:pPr>
      <w:r>
        <w:rPr>
          <w:rFonts w:hint="eastAsia"/>
        </w:rPr>
        <w:t>注重生物多样性保护，维护生态平衡，推广有机种植，减少化学肥料和农药使用。建立资源循环利用体系，充分利用咖啡种植过程中产生的废弃物，包括咖啡壳、咖啡渣等，实现资源的可持续利用。</w:t>
      </w:r>
    </w:p>
    <w:p w14:paraId="09673354">
      <w:pPr>
        <w:pStyle w:val="109"/>
        <w:snapToGrid w:val="0"/>
        <w:spacing w:before="120" w:after="120"/>
        <w:ind w:left="0"/>
      </w:pPr>
      <w:bookmarkStart w:id="55" w:name="_Toc191226979"/>
      <w:bookmarkStart w:id="56" w:name="_Toc191227260"/>
      <w:r>
        <w:rPr>
          <w:rFonts w:hint="eastAsia"/>
        </w:rPr>
        <w:t>绿色发展与科学布局</w:t>
      </w:r>
      <w:bookmarkEnd w:id="55"/>
      <w:bookmarkEnd w:id="56"/>
    </w:p>
    <w:p w14:paraId="5728E30C">
      <w:pPr>
        <w:pStyle w:val="60"/>
        <w:ind w:firstLine="420"/>
      </w:pPr>
      <w:r>
        <w:rPr>
          <w:rFonts w:hint="eastAsia"/>
        </w:rPr>
        <w:t>推广节水灌溉技术（包括滴灌、喷灌）和雨水收集利用，减少水资源浪费。应用节能设备，建立能源循环利用体系，充分利用太阳能、风能等可再生能源。科学规划基地建设，合理配置土地资源，统筹科学布局种植区、管理区和基础设施，处理好山林、水体、道路、建筑的关系，推动绿色发展，实现生态优先和可持续发展。</w:t>
      </w:r>
    </w:p>
    <w:p w14:paraId="569B32C7">
      <w:pPr>
        <w:pStyle w:val="108"/>
        <w:snapToGrid w:val="0"/>
        <w:spacing w:before="240" w:after="240"/>
        <w:ind w:left="0"/>
      </w:pPr>
      <w:bookmarkStart w:id="57" w:name="_Toc191227261"/>
      <w:bookmarkStart w:id="58" w:name="_Toc191226980"/>
      <w:r>
        <w:rPr>
          <w:rFonts w:hint="eastAsia"/>
        </w:rPr>
        <w:t>选址条件</w:t>
      </w:r>
      <w:bookmarkEnd w:id="57"/>
      <w:bookmarkEnd w:id="58"/>
    </w:p>
    <w:p w14:paraId="1AF7D9F5">
      <w:pPr>
        <w:pStyle w:val="109"/>
        <w:snapToGrid w:val="0"/>
        <w:spacing w:before="120" w:after="120"/>
        <w:ind w:left="0"/>
      </w:pPr>
      <w:bookmarkStart w:id="59" w:name="_Toc191227262"/>
      <w:bookmarkStart w:id="60" w:name="_Toc191226981"/>
      <w:r>
        <w:rPr>
          <w:rFonts w:hint="eastAsia"/>
        </w:rPr>
        <w:t>气候环境</w:t>
      </w:r>
      <w:bookmarkEnd w:id="59"/>
      <w:bookmarkEnd w:id="60"/>
    </w:p>
    <w:p w14:paraId="3171416E">
      <w:pPr>
        <w:pStyle w:val="69"/>
        <w:spacing w:before="120" w:after="120"/>
      </w:pPr>
      <w:bookmarkStart w:id="61" w:name="OLE_LINK5"/>
      <w:r>
        <w:rPr>
          <w:rFonts w:hint="eastAsia"/>
        </w:rPr>
        <w:t>温度要求</w:t>
      </w:r>
    </w:p>
    <w:bookmarkEnd w:id="61"/>
    <w:p w14:paraId="60E7DFFE">
      <w:pPr>
        <w:pStyle w:val="60"/>
        <w:ind w:firstLine="420"/>
      </w:pPr>
      <w:r>
        <w:rPr>
          <w:rFonts w:hint="eastAsia"/>
        </w:rPr>
        <w:t>年平均温度在 19 - 23℃，具体来说，夏季平均温度不宜超过 28℃，冬季平均温度不应低于 15℃，以保证咖啡树在不同季节都能正常生长。温度变化应相对稳定，在极端温度条件下，仍应采取相应的保护措施。在冬季低温来临前，应加强保暖措施，包括覆盖稻草等。关注气候变化，及时调整种植管理措施，以免对咖啡树的生长和发育造成不利影响。</w:t>
      </w:r>
    </w:p>
    <w:p w14:paraId="3A88F49B">
      <w:pPr>
        <w:pStyle w:val="69"/>
        <w:spacing w:before="120" w:after="120"/>
      </w:pPr>
      <w:bookmarkStart w:id="62" w:name="OLE_LINK6"/>
      <w:r>
        <w:rPr>
          <w:rFonts w:hint="eastAsia"/>
        </w:rPr>
        <w:t>雨量分布</w:t>
      </w:r>
    </w:p>
    <w:bookmarkEnd w:id="62"/>
    <w:p w14:paraId="331CB647">
      <w:pPr>
        <w:pStyle w:val="60"/>
        <w:ind w:firstLine="420"/>
      </w:pPr>
      <w:r>
        <w:rPr>
          <w:rFonts w:hint="eastAsia"/>
        </w:rPr>
        <w:t>年降雨量 1250 毫米以上且分布均匀，尤其在咖啡的花期和幼果期，应有足够的降雨量，以保证果实的正常发育和成熟。避免出现暴雨或长时间的连续降雨，以免造成土壤积水和水土流失，影响咖啡树的根系生长。</w:t>
      </w:r>
    </w:p>
    <w:p w14:paraId="6F897EB5">
      <w:pPr>
        <w:pStyle w:val="69"/>
        <w:spacing w:before="120" w:after="120"/>
      </w:pPr>
      <w:r>
        <w:rPr>
          <w:rFonts w:hint="eastAsia"/>
        </w:rPr>
        <w:t>光照</w:t>
      </w:r>
    </w:p>
    <w:p w14:paraId="08CED972">
      <w:pPr>
        <w:pStyle w:val="60"/>
        <w:ind w:firstLine="420"/>
      </w:pPr>
      <w:r>
        <w:rPr>
          <w:rFonts w:hint="eastAsia"/>
        </w:rPr>
        <w:t>光照强度适宜光照充足，但在夏季高温时段，应避免强光直射，以免对咖啡树造成灼伤。可以通过种植遮荫树或采用其他遮荫措施，降低光照强度。应保证每天的光照时间在 6 小时以上，以满足咖啡树的光合作用需求。</w:t>
      </w:r>
    </w:p>
    <w:p w14:paraId="0278AF47">
      <w:pPr>
        <w:pStyle w:val="69"/>
        <w:spacing w:before="120" w:after="120"/>
      </w:pPr>
      <w:r>
        <w:rPr>
          <w:rFonts w:hint="eastAsia"/>
        </w:rPr>
        <w:t>地形地貌</w:t>
      </w:r>
    </w:p>
    <w:p w14:paraId="6AE8E77E">
      <w:pPr>
        <w:pStyle w:val="60"/>
        <w:ind w:firstLine="420"/>
      </w:pPr>
      <w:r>
        <w:rPr>
          <w:rFonts w:hint="eastAsia"/>
        </w:rPr>
        <w:t>除了平地、缓坡地和坡度 25° 以下的丘陵地外，还应考虑在一些山谷地带建设基地，应确保排水良好，避免积水。虽然海拔 800 米以下为宜，但对于一些特殊品种的咖啡树，可以应根据其适应性适当调整海拔高度，但最高不应超过 1000 米。</w:t>
      </w:r>
    </w:p>
    <w:p w14:paraId="0405CF88">
      <w:pPr>
        <w:pStyle w:val="109"/>
        <w:spacing w:before="120" w:after="120"/>
        <w:ind w:left="0"/>
      </w:pPr>
      <w:bookmarkStart w:id="63" w:name="_Toc191227263"/>
      <w:bookmarkStart w:id="64" w:name="_Toc191226982"/>
      <w:r>
        <w:rPr>
          <w:rFonts w:hint="eastAsia"/>
        </w:rPr>
        <w:t>土壤</w:t>
      </w:r>
      <w:bookmarkEnd w:id="63"/>
      <w:bookmarkEnd w:id="64"/>
    </w:p>
    <w:p w14:paraId="6DF73718">
      <w:pPr>
        <w:pStyle w:val="69"/>
        <w:spacing w:before="120" w:after="120"/>
      </w:pPr>
      <w:r>
        <w:rPr>
          <w:rFonts w:hint="eastAsia"/>
        </w:rPr>
        <w:t>土壤环境质量</w:t>
      </w:r>
    </w:p>
    <w:p w14:paraId="400997BE">
      <w:pPr>
        <w:pStyle w:val="60"/>
        <w:ind w:firstLine="420"/>
      </w:pPr>
      <w:r>
        <w:rPr>
          <w:rFonts w:hint="eastAsia"/>
        </w:rPr>
        <w:t>土壤环境质量应符合 GB 15618 中的要求。</w:t>
      </w:r>
    </w:p>
    <w:p w14:paraId="4B0F2FF6">
      <w:pPr>
        <w:pStyle w:val="69"/>
        <w:spacing w:before="120" w:after="120"/>
      </w:pPr>
      <w:r>
        <w:rPr>
          <w:rFonts w:hint="eastAsia"/>
        </w:rPr>
        <w:t>土层深度</w:t>
      </w:r>
    </w:p>
    <w:p w14:paraId="20AFC557">
      <w:pPr>
        <w:pStyle w:val="60"/>
        <w:ind w:firstLine="420"/>
      </w:pPr>
      <w:r>
        <w:rPr>
          <w:rFonts w:hint="eastAsia"/>
        </w:rPr>
        <w:t>层深厚应至少达到 50 厘米以上，保证咖啡树的根系深入土壤，吸收足够的养分和水分。土壤结构应良好，具有良好的透气性和保水性，避免出现土壤板结等问题。</w:t>
      </w:r>
    </w:p>
    <w:p w14:paraId="12324D56">
      <w:pPr>
        <w:pStyle w:val="69"/>
        <w:spacing w:before="120" w:after="120"/>
      </w:pPr>
      <w:r>
        <w:rPr>
          <w:rFonts w:hint="eastAsia"/>
        </w:rPr>
        <w:t>土质疏松</w:t>
      </w:r>
    </w:p>
    <w:p w14:paraId="2ECD8E98">
      <w:pPr>
        <w:pStyle w:val="60"/>
        <w:ind w:firstLine="420"/>
      </w:pPr>
      <w:r>
        <w:rPr>
          <w:rFonts w:hint="eastAsia"/>
        </w:rPr>
        <w:t>通过添加有机肥料、秸秆等物质，改善土壤质地，提高土壤的疏松度，有利于咖啡树根系的生长和发育。疏松的土壤能够减少根系生长的阻力，促进根系的扩展和延伸，提高根系对养分和水分的吸收能力。</w:t>
      </w:r>
    </w:p>
    <w:p w14:paraId="1EE43975">
      <w:pPr>
        <w:pStyle w:val="69"/>
        <w:spacing w:before="120" w:after="120"/>
      </w:pPr>
      <w:r>
        <w:rPr>
          <w:rFonts w:hint="eastAsia"/>
        </w:rPr>
        <w:t>有机质丰富</w:t>
      </w:r>
    </w:p>
    <w:p w14:paraId="347D07FC">
      <w:pPr>
        <w:pStyle w:val="60"/>
        <w:ind w:firstLine="420"/>
      </w:pPr>
      <w:r>
        <w:rPr>
          <w:rFonts w:hint="eastAsia"/>
        </w:rPr>
        <w:t>增加有机肥的施用量，包括腐熟的农家肥、堆肥等，提高土壤中的有机质含量。采取合理的土壤管理措施，包括覆盖、轮作等，保持土壤有机质的含量稳定，为咖啡树提供充足的养分。</w:t>
      </w:r>
    </w:p>
    <w:p w14:paraId="3BA81727">
      <w:pPr>
        <w:pStyle w:val="69"/>
        <w:spacing w:before="120" w:after="120"/>
      </w:pPr>
      <w:r>
        <w:rPr>
          <w:rFonts w:hint="eastAsia"/>
        </w:rPr>
        <w:t>pH 值调节</w:t>
      </w:r>
    </w:p>
    <w:p w14:paraId="3A8D0D62">
      <w:pPr>
        <w:pStyle w:val="60"/>
        <w:ind w:firstLine="420"/>
      </w:pPr>
      <w:r>
        <w:rPr>
          <w:rFonts w:hint="eastAsia"/>
        </w:rPr>
        <w:t>土壤的pH值范围应控制在 5.5 - 6.8 之间，对于咖啡树的生长最为适宜。当土壤 pH 值过高或过低时，应采取相应的措施进行调节，包括施用石灰或硫酸亚铁等。</w:t>
      </w:r>
    </w:p>
    <w:p w14:paraId="504736C0">
      <w:pPr>
        <w:pStyle w:val="69"/>
        <w:spacing w:before="120" w:after="120"/>
      </w:pPr>
      <w:r>
        <w:rPr>
          <w:rFonts w:hint="eastAsia"/>
        </w:rPr>
        <w:t>地下水位</w:t>
      </w:r>
    </w:p>
    <w:p w14:paraId="570C4EE5">
      <w:pPr>
        <w:pStyle w:val="60"/>
        <w:ind w:firstLine="420"/>
      </w:pPr>
      <w:r>
        <w:rPr>
          <w:rFonts w:hint="eastAsia"/>
        </w:rPr>
        <w:t>地下水位应在 1 米以下，以防止根系受到水淹，影响呼吸和生长。定期监测地下水位的变化，及时采取措施应对水位上升或下降的情况。</w:t>
      </w:r>
    </w:p>
    <w:p w14:paraId="0E3B9DA8">
      <w:pPr>
        <w:pStyle w:val="109"/>
        <w:spacing w:before="120" w:after="120"/>
        <w:ind w:left="0"/>
      </w:pPr>
      <w:bookmarkStart w:id="65" w:name="_Toc191227264"/>
      <w:bookmarkStart w:id="66" w:name="_Toc191226983"/>
      <w:r>
        <w:rPr>
          <w:rFonts w:hint="eastAsia"/>
        </w:rPr>
        <w:t>水源</w:t>
      </w:r>
      <w:bookmarkEnd w:id="65"/>
      <w:bookmarkEnd w:id="66"/>
    </w:p>
    <w:p w14:paraId="201BF02E">
      <w:pPr>
        <w:pStyle w:val="69"/>
        <w:spacing w:before="120" w:after="120"/>
      </w:pPr>
      <w:r>
        <w:rPr>
          <w:rFonts w:hint="eastAsia"/>
        </w:rPr>
        <w:t>灌溉用水水质</w:t>
      </w:r>
    </w:p>
    <w:p w14:paraId="6AD9C663">
      <w:pPr>
        <w:pStyle w:val="60"/>
        <w:ind w:firstLine="420"/>
      </w:pPr>
      <w:bookmarkStart w:id="67" w:name="OLE_LINK12"/>
      <w:r>
        <w:rPr>
          <w:rFonts w:hint="eastAsia"/>
        </w:rPr>
        <w:t>灌溉用水水质应符合GB 5084的要求；</w:t>
      </w:r>
    </w:p>
    <w:p w14:paraId="3F9CAE37">
      <w:pPr>
        <w:pStyle w:val="69"/>
        <w:spacing w:before="120" w:after="120"/>
      </w:pPr>
      <w:r>
        <w:rPr>
          <w:rFonts w:hint="eastAsia"/>
        </w:rPr>
        <w:t>灌溉</w:t>
      </w:r>
    </w:p>
    <w:p w14:paraId="78D43D55">
      <w:pPr>
        <w:pStyle w:val="60"/>
        <w:ind w:firstLine="420"/>
      </w:pPr>
      <w:r>
        <w:rPr>
          <w:rFonts w:hint="eastAsia"/>
        </w:rPr>
        <w:t>确保灌溉水源的稳定性，避免出现水源短缺或中断的情况。可以建立备用水源或采用节水灌溉技术，提高水资源的利用效率。应定期对灌溉水源的水质进行检测，当水质不符合要求时，应采取相应的处理措施，包括净化、消毒等。</w:t>
      </w:r>
    </w:p>
    <w:p w14:paraId="0141DF6B">
      <w:pPr>
        <w:pStyle w:val="69"/>
        <w:spacing w:before="120" w:after="120"/>
      </w:pPr>
      <w:r>
        <w:rPr>
          <w:rFonts w:hint="eastAsia"/>
        </w:rPr>
        <w:t>排水</w:t>
      </w:r>
    </w:p>
    <w:p w14:paraId="5724B0F6">
      <w:pPr>
        <w:pStyle w:val="60"/>
        <w:ind w:firstLine="420"/>
      </w:pPr>
      <w:r>
        <w:rPr>
          <w:rFonts w:hint="eastAsia"/>
        </w:rPr>
        <w:t>应建立完善的排水系统，包括排水沟、排水渠等，应确保雨水和灌溉水及时排出基地，避免积水。应根据基地的地形和土壤条件，合理设计排水系统的坡度和尺寸，提高排水能力，确保排水畅通。</w:t>
      </w:r>
    </w:p>
    <w:p w14:paraId="35A5A3D6">
      <w:pPr>
        <w:pStyle w:val="109"/>
        <w:spacing w:before="120" w:after="120"/>
        <w:ind w:left="0"/>
      </w:pPr>
      <w:bookmarkStart w:id="68" w:name="_Toc191226985"/>
      <w:bookmarkStart w:id="69" w:name="_Toc191227266"/>
      <w:r>
        <w:rPr>
          <w:rFonts w:hint="eastAsia"/>
        </w:rPr>
        <w:t>交通</w:t>
      </w:r>
      <w:bookmarkEnd w:id="68"/>
      <w:bookmarkEnd w:id="69"/>
    </w:p>
    <w:p w14:paraId="2E8B1F36">
      <w:pPr>
        <w:pStyle w:val="69"/>
        <w:spacing w:before="120" w:after="120"/>
      </w:pPr>
      <w:r>
        <w:rPr>
          <w:rFonts w:hint="eastAsia"/>
        </w:rPr>
        <w:t>道路等级提高</w:t>
      </w:r>
    </w:p>
    <w:p w14:paraId="2A39259F">
      <w:pPr>
        <w:pStyle w:val="60"/>
        <w:ind w:firstLine="420"/>
      </w:pPr>
      <w:r>
        <w:rPr>
          <w:rFonts w:hint="eastAsia"/>
        </w:rPr>
        <w:t>基地应靠近主要交通干线，道路等级应达到县级以上标准，应确保运输车辆顺利通行。</w:t>
      </w:r>
    </w:p>
    <w:p w14:paraId="6D6517C8">
      <w:pPr>
        <w:pStyle w:val="69"/>
        <w:spacing w:before="120" w:after="120"/>
      </w:pPr>
      <w:r>
        <w:rPr>
          <w:rFonts w:hint="eastAsia"/>
        </w:rPr>
        <w:t>运输方式优化</w:t>
      </w:r>
    </w:p>
    <w:p w14:paraId="5A4E3762">
      <w:pPr>
        <w:pStyle w:val="60"/>
        <w:ind w:firstLine="420"/>
      </w:pPr>
      <w:r>
        <w:rPr>
          <w:rFonts w:hint="eastAsia"/>
        </w:rPr>
        <w:t>应选择合适的运输方式，包括公路运输、铁路运输等，降低运输成本。</w:t>
      </w:r>
    </w:p>
    <w:p w14:paraId="05AFA1D1">
      <w:pPr>
        <w:pStyle w:val="69"/>
        <w:spacing w:before="120" w:after="120"/>
      </w:pPr>
      <w:r>
        <w:rPr>
          <w:rFonts w:hint="eastAsia"/>
        </w:rPr>
        <w:t>物流配送服务</w:t>
      </w:r>
    </w:p>
    <w:p w14:paraId="3DDF8207">
      <w:pPr>
        <w:pStyle w:val="60"/>
        <w:ind w:firstLine="420"/>
      </w:pPr>
      <w:r>
        <w:rPr>
          <w:rFonts w:hint="eastAsia"/>
        </w:rPr>
        <w:t>应加强与物流企业的合作，提供优质的物流配送服务，应确保农资和产品及时运输到基地和市场。</w:t>
      </w:r>
    </w:p>
    <w:p w14:paraId="428C1BBD">
      <w:pPr>
        <w:pStyle w:val="108"/>
        <w:snapToGrid w:val="0"/>
        <w:spacing w:before="240" w:after="240"/>
        <w:ind w:left="0"/>
      </w:pPr>
      <w:bookmarkStart w:id="70" w:name="_Toc191227267"/>
      <w:bookmarkStart w:id="71" w:name="_Toc191226987"/>
      <w:r>
        <w:rPr>
          <w:rFonts w:hint="eastAsia"/>
        </w:rPr>
        <w:t>基地布局</w:t>
      </w:r>
      <w:bookmarkEnd w:id="70"/>
      <w:bookmarkEnd w:id="71"/>
    </w:p>
    <w:p w14:paraId="1410E94B">
      <w:pPr>
        <w:pStyle w:val="109"/>
        <w:snapToGrid w:val="0"/>
        <w:spacing w:before="120" w:after="120"/>
        <w:ind w:left="0"/>
      </w:pPr>
      <w:bookmarkStart w:id="72" w:name="_Toc191227268"/>
      <w:bookmarkStart w:id="73" w:name="_Toc191226988"/>
      <w:r>
        <w:rPr>
          <w:rFonts w:hint="eastAsia"/>
        </w:rPr>
        <w:t>种植区</w:t>
      </w:r>
      <w:bookmarkEnd w:id="72"/>
      <w:bookmarkEnd w:id="73"/>
    </w:p>
    <w:p w14:paraId="67D2AE99">
      <w:pPr>
        <w:pStyle w:val="69"/>
        <w:snapToGrid w:val="0"/>
        <w:spacing w:before="120" w:after="120"/>
      </w:pPr>
      <w:r>
        <w:rPr>
          <w:rFonts w:hint="eastAsia"/>
        </w:rPr>
        <w:t>品种分区种植</w:t>
      </w:r>
    </w:p>
    <w:p w14:paraId="188100F2">
      <w:pPr>
        <w:pStyle w:val="98"/>
        <w:snapToGrid w:val="0"/>
        <w:spacing w:before="120" w:after="120"/>
      </w:pPr>
      <w:r>
        <w:rPr>
          <w:rFonts w:hint="eastAsia"/>
        </w:rPr>
        <w:t>根据特性分区</w:t>
      </w:r>
    </w:p>
    <w:p w14:paraId="280E03D4">
      <w:pPr>
        <w:pStyle w:val="60"/>
        <w:ind w:firstLine="420"/>
      </w:pPr>
      <w:r>
        <w:rPr>
          <w:rFonts w:hint="eastAsia"/>
        </w:rPr>
        <w:t>应根据不同咖啡品种的特性，包括生长习性、对土壤和气候的要求等，进行分区种植。将对光照要求较高的品种种植在光照充足的区域，将对土壤肥力要求较高的品种种植在土壤肥沃的区域。</w:t>
      </w:r>
    </w:p>
    <w:p w14:paraId="3CB5B388">
      <w:pPr>
        <w:pStyle w:val="98"/>
        <w:snapToGrid w:val="0"/>
        <w:spacing w:before="120" w:after="120"/>
      </w:pPr>
      <w:r>
        <w:rPr>
          <w:rFonts w:hint="eastAsia"/>
        </w:rPr>
        <w:t>优化种植布局</w:t>
      </w:r>
    </w:p>
    <w:p w14:paraId="21B5483E">
      <w:pPr>
        <w:pStyle w:val="60"/>
        <w:ind w:firstLine="420"/>
      </w:pPr>
      <w:r>
        <w:rPr>
          <w:rFonts w:hint="eastAsia"/>
        </w:rPr>
        <w:t>在同一种植区内，应根据地形和土壤条件的差异，合理调整种植密度和种植方式。对于地势平坦、土壤肥沃的区域，可以适当增加种植密度；对于地势起伏较大、土壤贫瘠的区域，应适当减少种植密度。</w:t>
      </w:r>
    </w:p>
    <w:p w14:paraId="42A13236">
      <w:pPr>
        <w:pStyle w:val="69"/>
        <w:snapToGrid w:val="0"/>
        <w:spacing w:before="120" w:after="120"/>
      </w:pPr>
      <w:r>
        <w:rPr>
          <w:rFonts w:hint="eastAsia"/>
        </w:rPr>
        <w:t>土壤改良与管理</w:t>
      </w:r>
    </w:p>
    <w:p w14:paraId="3D102A98">
      <w:pPr>
        <w:pStyle w:val="98"/>
        <w:snapToGrid w:val="0"/>
        <w:spacing w:before="120" w:after="120"/>
      </w:pPr>
      <w:r>
        <w:rPr>
          <w:rFonts w:hint="eastAsia"/>
        </w:rPr>
        <w:t>土壤检测与改良</w:t>
      </w:r>
    </w:p>
    <w:p w14:paraId="303ECF0E">
      <w:pPr>
        <w:pStyle w:val="60"/>
        <w:ind w:firstLine="420"/>
      </w:pPr>
      <w:r>
        <w:rPr>
          <w:rFonts w:hint="eastAsia"/>
        </w:rPr>
        <w:t>应定期对种植土壤进行检测，了解土壤的肥力、酸碱度、重金属含量等指标。应根据检测结果，采取相应的土壤改良措施，包括施用有机肥、石灰、石膏等，改善土壤结构和肥力状况。</w:t>
      </w:r>
    </w:p>
    <w:p w14:paraId="749A0AA6">
      <w:pPr>
        <w:pStyle w:val="98"/>
        <w:snapToGrid w:val="0"/>
        <w:spacing w:before="120" w:after="120"/>
      </w:pPr>
      <w:r>
        <w:rPr>
          <w:rFonts w:hint="eastAsia"/>
        </w:rPr>
        <w:t>土壤覆盖与保护</w:t>
      </w:r>
    </w:p>
    <w:p w14:paraId="549775D8">
      <w:pPr>
        <w:pStyle w:val="60"/>
        <w:ind w:firstLine="420"/>
      </w:pPr>
      <w:r>
        <w:rPr>
          <w:rFonts w:hint="eastAsia"/>
        </w:rPr>
        <w:t>采用秸秆、木屑、绿肥等材料对土壤进行覆盖，减少土壤水分蒸发，保持土壤温度，抑制杂草生长。同时，应加强对土壤的保护，避免过度耕作和水土流失。</w:t>
      </w:r>
    </w:p>
    <w:p w14:paraId="5190BCE7">
      <w:pPr>
        <w:pStyle w:val="69"/>
        <w:snapToGrid w:val="0"/>
        <w:spacing w:before="120" w:after="120"/>
      </w:pPr>
      <w:r>
        <w:rPr>
          <w:rFonts w:hint="eastAsia"/>
        </w:rPr>
        <w:t>植株修剪与整形</w:t>
      </w:r>
    </w:p>
    <w:p w14:paraId="38ABD72A">
      <w:pPr>
        <w:pStyle w:val="98"/>
        <w:snapToGrid w:val="0"/>
        <w:spacing w:before="120" w:after="120"/>
      </w:pPr>
      <w:r>
        <w:rPr>
          <w:rFonts w:hint="eastAsia"/>
        </w:rPr>
        <w:t>定期修剪</w:t>
      </w:r>
    </w:p>
    <w:p w14:paraId="336A39A7">
      <w:pPr>
        <w:pStyle w:val="60"/>
        <w:ind w:firstLine="420"/>
      </w:pPr>
      <w:r>
        <w:rPr>
          <w:rFonts w:hint="eastAsia"/>
        </w:rPr>
        <w:t>应根据咖啡树的生长情况，定期进行修剪，去除枯枝、病枝、交叉枝和过密枝，改善树冠通风透光条件，减少病虫害的发生。</w:t>
      </w:r>
    </w:p>
    <w:p w14:paraId="0D329BE1">
      <w:pPr>
        <w:pStyle w:val="98"/>
        <w:snapToGrid w:val="0"/>
        <w:spacing w:before="120" w:after="120"/>
      </w:pPr>
      <w:r>
        <w:rPr>
          <w:rFonts w:hint="eastAsia"/>
        </w:rPr>
        <w:t>整形方式</w:t>
      </w:r>
    </w:p>
    <w:p w14:paraId="6992C2E7">
      <w:pPr>
        <w:pStyle w:val="60"/>
        <w:ind w:firstLine="420"/>
      </w:pPr>
      <w:r>
        <w:rPr>
          <w:rFonts w:hint="eastAsia"/>
        </w:rPr>
        <w:t>应采用单干整形或多干整形等方式，应根据品种特点和种植目的，塑造适合的树冠形态。单干整形有利于提高咖啡的产量和品质，多干整形则有利于提高咖啡的抗风能力和适应性。</w:t>
      </w:r>
    </w:p>
    <w:p w14:paraId="3E4C12A7">
      <w:pPr>
        <w:pStyle w:val="109"/>
        <w:snapToGrid w:val="0"/>
        <w:spacing w:before="120" w:after="120"/>
        <w:ind w:left="0"/>
      </w:pPr>
      <w:bookmarkStart w:id="74" w:name="_Toc191227269"/>
      <w:bookmarkStart w:id="75" w:name="_Toc191226989"/>
      <w:r>
        <w:rPr>
          <w:rFonts w:hint="eastAsia"/>
        </w:rPr>
        <w:t>管理区</w:t>
      </w:r>
      <w:bookmarkEnd w:id="74"/>
      <w:bookmarkEnd w:id="75"/>
    </w:p>
    <w:p w14:paraId="07745861">
      <w:pPr>
        <w:pStyle w:val="69"/>
        <w:snapToGrid w:val="0"/>
        <w:spacing w:before="120" w:after="120"/>
      </w:pPr>
      <w:r>
        <w:rPr>
          <w:rFonts w:hint="eastAsia"/>
        </w:rPr>
        <w:t>设施建设</w:t>
      </w:r>
    </w:p>
    <w:p w14:paraId="156F2E33">
      <w:pPr>
        <w:pStyle w:val="98"/>
        <w:snapToGrid w:val="0"/>
        <w:spacing w:before="120" w:after="120"/>
      </w:pPr>
      <w:r>
        <w:rPr>
          <w:rFonts w:hint="eastAsia"/>
        </w:rPr>
        <w:t>管理用房</w:t>
      </w:r>
    </w:p>
    <w:p w14:paraId="654C0D67">
      <w:pPr>
        <w:pStyle w:val="60"/>
        <w:ind w:firstLine="420"/>
      </w:pPr>
      <w:r>
        <w:rPr>
          <w:rFonts w:hint="eastAsia"/>
        </w:rPr>
        <w:t>管理用房应采用环保、节能的建筑材料，具备良好的通风、采光和隔热性能。房屋结构应坚固耐用抵御自然灾害的影响。</w:t>
      </w:r>
    </w:p>
    <w:p w14:paraId="31AB0F12">
      <w:pPr>
        <w:pStyle w:val="98"/>
        <w:snapToGrid w:val="0"/>
        <w:spacing w:before="120" w:after="120"/>
      </w:pPr>
      <w:r>
        <w:rPr>
          <w:rFonts w:hint="eastAsia"/>
        </w:rPr>
        <w:t>仓库</w:t>
      </w:r>
    </w:p>
    <w:p w14:paraId="0A6DF98A">
      <w:pPr>
        <w:pStyle w:val="60"/>
        <w:ind w:firstLine="420"/>
      </w:pPr>
      <w:r>
        <w:rPr>
          <w:rFonts w:hint="eastAsia"/>
        </w:rPr>
        <w:t>仓库应具备防潮、防虫、防火、防盗等功能，内部应设置货架和防潮、通风设施。仓库的建筑面积应根据基地的规模和农资存放量合理确定。</w:t>
      </w:r>
    </w:p>
    <w:p w14:paraId="380AC800">
      <w:pPr>
        <w:pStyle w:val="69"/>
        <w:snapToGrid w:val="0"/>
        <w:spacing w:before="120" w:after="120"/>
      </w:pPr>
      <w:r>
        <w:rPr>
          <w:rFonts w:hint="eastAsia"/>
        </w:rPr>
        <w:t>管理功能完善</w:t>
      </w:r>
    </w:p>
    <w:p w14:paraId="10A76991">
      <w:pPr>
        <w:pStyle w:val="98"/>
        <w:snapToGrid w:val="0"/>
        <w:spacing w:before="120" w:after="120"/>
      </w:pPr>
      <w:r>
        <w:rPr>
          <w:rFonts w:hint="eastAsia"/>
        </w:rPr>
        <w:t>日常管理</w:t>
      </w:r>
    </w:p>
    <w:p w14:paraId="018990AF">
      <w:pPr>
        <w:pStyle w:val="60"/>
        <w:ind w:firstLine="420"/>
      </w:pPr>
      <w:r>
        <w:rPr>
          <w:rFonts w:hint="eastAsia"/>
        </w:rPr>
        <w:t>开展基地的日常生产管理工作，包括制定生产计划、组织生产实施、协调生产资源等。</w:t>
      </w:r>
    </w:p>
    <w:p w14:paraId="1580351C">
      <w:pPr>
        <w:pStyle w:val="98"/>
        <w:snapToGrid w:val="0"/>
        <w:spacing w:before="120" w:after="120"/>
      </w:pPr>
      <w:r>
        <w:rPr>
          <w:rFonts w:hint="eastAsia"/>
        </w:rPr>
        <w:t>农资管理</w:t>
      </w:r>
    </w:p>
    <w:p w14:paraId="72823B1A">
      <w:pPr>
        <w:pStyle w:val="60"/>
        <w:ind w:firstLine="420"/>
      </w:pPr>
      <w:r>
        <w:rPr>
          <w:rFonts w:hint="eastAsia"/>
        </w:rPr>
        <w:t>应对农资的采购、入库、保管、使用等环节进行管理，确保农资的质量和安全，合理控制农资的使用成本。</w:t>
      </w:r>
    </w:p>
    <w:p w14:paraId="0922482D">
      <w:pPr>
        <w:pStyle w:val="98"/>
        <w:snapToGrid w:val="0"/>
        <w:spacing w:before="120" w:after="120"/>
      </w:pPr>
      <w:r>
        <w:rPr>
          <w:rFonts w:hint="eastAsia"/>
        </w:rPr>
        <w:t>质量控制</w:t>
      </w:r>
    </w:p>
    <w:p w14:paraId="03379BA0">
      <w:pPr>
        <w:pStyle w:val="60"/>
        <w:ind w:firstLine="420"/>
      </w:pPr>
      <w:r>
        <w:rPr>
          <w:rFonts w:hint="eastAsia"/>
        </w:rPr>
        <w:t>应建立完善的基地质量管理控制体系，对咖啡的种植、采摘、包装、运输等环节进行质量检测和监控，确保咖啡产品的质量符合国家标准和市场要求。</w:t>
      </w:r>
    </w:p>
    <w:p w14:paraId="075A0239">
      <w:pPr>
        <w:pStyle w:val="69"/>
        <w:snapToGrid w:val="0"/>
        <w:spacing w:before="120" w:after="120"/>
      </w:pPr>
      <w:r>
        <w:rPr>
          <w:rFonts w:hint="eastAsia"/>
        </w:rPr>
        <w:t>道路系统</w:t>
      </w:r>
    </w:p>
    <w:p w14:paraId="231407EC">
      <w:pPr>
        <w:pStyle w:val="98"/>
        <w:snapToGrid w:val="0"/>
        <w:spacing w:before="120" w:after="120"/>
      </w:pPr>
      <w:r>
        <w:rPr>
          <w:rFonts w:hint="eastAsia"/>
        </w:rPr>
        <w:t>道路材料选择</w:t>
      </w:r>
    </w:p>
    <w:p w14:paraId="5280B095">
      <w:pPr>
        <w:pStyle w:val="60"/>
        <w:ind w:firstLine="420"/>
      </w:pPr>
      <w:r>
        <w:rPr>
          <w:rFonts w:hint="eastAsia"/>
        </w:rPr>
        <w:t>基地范围内部道路应采用坚固、耐用的建筑材料，包括水泥、沥青等，确保道路的承载能力和使用寿命。</w:t>
      </w:r>
    </w:p>
    <w:p w14:paraId="2E031624">
      <w:pPr>
        <w:pStyle w:val="98"/>
        <w:snapToGrid w:val="0"/>
        <w:spacing w:before="120" w:after="120"/>
      </w:pPr>
      <w:r>
        <w:rPr>
          <w:rFonts w:hint="eastAsia"/>
        </w:rPr>
        <w:t>道路施工质量</w:t>
      </w:r>
    </w:p>
    <w:p w14:paraId="47752251">
      <w:pPr>
        <w:pStyle w:val="60"/>
        <w:ind w:firstLine="420"/>
      </w:pPr>
      <w:r>
        <w:rPr>
          <w:rFonts w:hint="eastAsia"/>
        </w:rPr>
        <w:t>基地范围内部道路施工应严格按照相关标准和规范进行，确保道路的平整度、坡度、宽度等指标符合要求。同时，应加强对道路施工过程的监督和管理，确保施工质量。</w:t>
      </w:r>
    </w:p>
    <w:p w14:paraId="73B262F3">
      <w:pPr>
        <w:pStyle w:val="98"/>
        <w:snapToGrid w:val="0"/>
        <w:spacing w:before="120" w:after="120"/>
      </w:pPr>
      <w:r>
        <w:rPr>
          <w:rFonts w:hint="eastAsia"/>
        </w:rPr>
        <w:t>定期维护</w:t>
      </w:r>
    </w:p>
    <w:p w14:paraId="1D8B0934">
      <w:pPr>
        <w:pStyle w:val="60"/>
        <w:ind w:firstLine="420"/>
      </w:pPr>
      <w:r>
        <w:rPr>
          <w:rFonts w:hint="eastAsia"/>
        </w:rPr>
        <w:t>应制定道路维护计划，定期对道路进行维护和保养，及时修复道路损坏部位，确保道路的畅通。</w:t>
      </w:r>
    </w:p>
    <w:p w14:paraId="79ECCC5B">
      <w:pPr>
        <w:pStyle w:val="98"/>
        <w:snapToGrid w:val="0"/>
        <w:spacing w:before="120" w:after="120"/>
      </w:pPr>
      <w:r>
        <w:rPr>
          <w:rFonts w:hint="eastAsia"/>
        </w:rPr>
        <w:t>交通管理</w:t>
      </w:r>
    </w:p>
    <w:p w14:paraId="0C68AF4E">
      <w:pPr>
        <w:pStyle w:val="60"/>
        <w:ind w:firstLine="420"/>
      </w:pPr>
      <w:r>
        <w:rPr>
          <w:rFonts w:hint="eastAsia"/>
        </w:rPr>
        <w:t>应加强对基地范围内部道路交通的管理，设置交通标志和标线，规范车辆行驶和停放，确保交通安全。</w:t>
      </w:r>
    </w:p>
    <w:p w14:paraId="2719FAB6">
      <w:pPr>
        <w:pStyle w:val="69"/>
        <w:snapToGrid w:val="0"/>
        <w:spacing w:before="120" w:after="120"/>
      </w:pPr>
      <w:r>
        <w:rPr>
          <w:rFonts w:hint="eastAsia"/>
        </w:rPr>
        <w:t>灌溉与排水系统</w:t>
      </w:r>
    </w:p>
    <w:p w14:paraId="2AB3D483">
      <w:pPr>
        <w:pStyle w:val="98"/>
        <w:snapToGrid w:val="0"/>
        <w:spacing w:before="120" w:after="120"/>
      </w:pPr>
      <w:r>
        <w:rPr>
          <w:rFonts w:hint="eastAsia"/>
        </w:rPr>
        <w:t>灌溉设备选择</w:t>
      </w:r>
    </w:p>
    <w:p w14:paraId="4FEC6880">
      <w:pPr>
        <w:pStyle w:val="60"/>
        <w:ind w:firstLine="420"/>
      </w:pPr>
      <w:r>
        <w:rPr>
          <w:rFonts w:hint="eastAsia"/>
        </w:rPr>
        <w:t>应根据基地的地形、土壤和气候条件，选择合适的灌溉设备，包括喷灌系统、滴灌系统、微喷灌系统等。应确保灌溉设备均匀地将水喷洒到咖啡树上，提高水资源的利用效率。</w:t>
      </w:r>
    </w:p>
    <w:p w14:paraId="3B71D835">
      <w:pPr>
        <w:pStyle w:val="98"/>
        <w:snapToGrid w:val="0"/>
        <w:spacing w:before="120" w:after="120"/>
      </w:pPr>
      <w:r>
        <w:rPr>
          <w:rFonts w:hint="eastAsia"/>
        </w:rPr>
        <w:t>灌溉制度制定</w:t>
      </w:r>
    </w:p>
    <w:p w14:paraId="19803DB3">
      <w:pPr>
        <w:pStyle w:val="60"/>
        <w:ind w:firstLine="420"/>
      </w:pPr>
      <w:r>
        <w:rPr>
          <w:rFonts w:hint="eastAsia"/>
        </w:rPr>
        <w:t>应根据咖啡树的生长阶段和需水规律，制定科学合理的灌溉制度，合理确定灌溉水量、灌溉时间和灌溉频率。避免过度灌溉或灌溉不足，影响咖啡树的生长和发育。</w:t>
      </w:r>
    </w:p>
    <w:p w14:paraId="67CBCAB3">
      <w:pPr>
        <w:pStyle w:val="98"/>
        <w:snapToGrid w:val="0"/>
        <w:spacing w:before="120" w:after="120"/>
      </w:pPr>
      <w:r>
        <w:rPr>
          <w:rFonts w:hint="eastAsia"/>
        </w:rPr>
        <w:t>排水设施建设</w:t>
      </w:r>
    </w:p>
    <w:p w14:paraId="102C2A98">
      <w:pPr>
        <w:pStyle w:val="60"/>
        <w:ind w:firstLine="420"/>
      </w:pPr>
      <w:r>
        <w:rPr>
          <w:rFonts w:hint="eastAsia"/>
        </w:rPr>
        <w:t>应加强对排水系统的建设，完善环园大沟、园内纵沟和垄沟或梯田内侧小沟的建设，确保排水渠道的畅通。同时，合理设置排水口，将雨水和灌溉水及时排出基地。</w:t>
      </w:r>
    </w:p>
    <w:p w14:paraId="096ABC79">
      <w:pPr>
        <w:pStyle w:val="98"/>
        <w:snapToGrid w:val="0"/>
        <w:spacing w:before="120" w:after="120"/>
      </w:pPr>
      <w:r>
        <w:rPr>
          <w:rFonts w:hint="eastAsia"/>
        </w:rPr>
        <w:t>排水能力提升</w:t>
      </w:r>
    </w:p>
    <w:p w14:paraId="5ECD2AB9">
      <w:pPr>
        <w:pStyle w:val="60"/>
        <w:ind w:firstLine="420"/>
      </w:pPr>
      <w:r>
        <w:rPr>
          <w:rFonts w:hint="eastAsia"/>
        </w:rPr>
        <w:t>定期对排水系统进行清理和维护，特别是雨季来临前，确保排水系统的排水能力。</w:t>
      </w:r>
    </w:p>
    <w:p w14:paraId="7FECE0F5">
      <w:pPr>
        <w:pStyle w:val="69"/>
        <w:snapToGrid w:val="0"/>
        <w:spacing w:before="120" w:after="120"/>
      </w:pPr>
      <w:r>
        <w:rPr>
          <w:rFonts w:hint="eastAsia"/>
        </w:rPr>
        <w:t>防护林带</w:t>
      </w:r>
    </w:p>
    <w:p w14:paraId="3D7F0A78">
      <w:pPr>
        <w:pStyle w:val="98"/>
        <w:snapToGrid w:val="0"/>
        <w:spacing w:before="120" w:after="120"/>
      </w:pPr>
      <w:r>
        <w:rPr>
          <w:rFonts w:hint="eastAsia"/>
        </w:rPr>
        <w:t>本地树种优先</w:t>
      </w:r>
    </w:p>
    <w:p w14:paraId="4DC173FC">
      <w:pPr>
        <w:pStyle w:val="60"/>
        <w:ind w:firstLine="420"/>
      </w:pPr>
      <w:r>
        <w:rPr>
          <w:rFonts w:hint="eastAsia"/>
        </w:rPr>
        <w:t>应优先选择当地适合种植的树种，包括木麻黄、母生、竹柏等，这些树种对当地的气候和土壤条件具有较好的适应性，应更好地发挥防风、固沙、调节气候的作用。</w:t>
      </w:r>
    </w:p>
    <w:p w14:paraId="118B74F3">
      <w:pPr>
        <w:pStyle w:val="98"/>
        <w:snapToGrid w:val="0"/>
        <w:spacing w:before="120" w:after="120"/>
      </w:pPr>
      <w:r>
        <w:rPr>
          <w:rFonts w:hint="eastAsia"/>
        </w:rPr>
        <w:t>树种搭配合理</w:t>
      </w:r>
    </w:p>
    <w:p w14:paraId="2E123F0F">
      <w:pPr>
        <w:pStyle w:val="60"/>
        <w:ind w:firstLine="420"/>
      </w:pPr>
      <w:r>
        <w:rPr>
          <w:rFonts w:hint="eastAsia"/>
        </w:rPr>
        <w:t>应根据不同树种的特点和功能，进行合理搭配，形成多层次、多结构的防护林带。可以将高大乔木、灌木和草本植物相结合，提高防护林带的生态功能和稳定性。</w:t>
      </w:r>
    </w:p>
    <w:p w14:paraId="0D09DF72">
      <w:pPr>
        <w:pStyle w:val="98"/>
        <w:snapToGrid w:val="0"/>
        <w:spacing w:before="120" w:after="120"/>
      </w:pPr>
      <w:r>
        <w:rPr>
          <w:rFonts w:hint="eastAsia"/>
        </w:rPr>
        <w:t>定期修剪</w:t>
      </w:r>
    </w:p>
    <w:p w14:paraId="4ECDC658">
      <w:pPr>
        <w:pStyle w:val="60"/>
        <w:ind w:firstLine="420"/>
      </w:pPr>
      <w:r>
        <w:rPr>
          <w:rFonts w:hint="eastAsia"/>
        </w:rPr>
        <w:t>定期对防护林带进行修剪，去除枯枝、病枝和过密枝，保持防护林带的通风透光条件，提高防护林带的防护效果。</w:t>
      </w:r>
    </w:p>
    <w:p w14:paraId="473F0512">
      <w:pPr>
        <w:pStyle w:val="98"/>
        <w:snapToGrid w:val="0"/>
        <w:spacing w:before="120" w:after="120"/>
      </w:pPr>
      <w:r>
        <w:rPr>
          <w:rFonts w:hint="eastAsia"/>
        </w:rPr>
        <w:t>病虫害防治</w:t>
      </w:r>
    </w:p>
    <w:p w14:paraId="57B25AFB">
      <w:pPr>
        <w:pStyle w:val="60"/>
        <w:ind w:firstLine="420"/>
      </w:pPr>
      <w:r>
        <w:rPr>
          <w:rFonts w:hint="eastAsia"/>
        </w:rPr>
        <w:t>应加强对防护林带的病虫害防治工作，定期巡查，及时发现和处理病虫害问题。采用生物防治、物理防治等绿色防控措施，减少化学农药的使用，保护环境。</w:t>
      </w:r>
    </w:p>
    <w:p w14:paraId="7059280C">
      <w:pPr>
        <w:pStyle w:val="69"/>
        <w:snapToGrid w:val="0"/>
        <w:spacing w:before="120" w:after="120"/>
      </w:pPr>
      <w:r>
        <w:rPr>
          <w:rFonts w:hint="eastAsia"/>
        </w:rPr>
        <w:t>轮作规划</w:t>
      </w:r>
    </w:p>
    <w:p w14:paraId="27623E89">
      <w:pPr>
        <w:pStyle w:val="98"/>
        <w:snapToGrid w:val="0"/>
        <w:spacing w:before="120" w:after="120"/>
      </w:pPr>
      <w:r>
        <w:rPr>
          <w:rFonts w:hint="eastAsia"/>
        </w:rPr>
        <w:t>合理轮作</w:t>
      </w:r>
    </w:p>
    <w:p w14:paraId="7F05D014">
      <w:pPr>
        <w:pStyle w:val="60"/>
        <w:ind w:firstLine="420"/>
      </w:pPr>
      <w:r>
        <w:rPr>
          <w:rFonts w:hint="eastAsia"/>
        </w:rPr>
        <w:t>应根据土壤的肥力状况、病虫害发生情况等因素，选择合适的轮作模式。可以采用豆科作物与非豆科作物轮作、深根作物与浅根作物轮作等方式，改善土壤结构，减少病虫害的发生。</w:t>
      </w:r>
    </w:p>
    <w:p w14:paraId="1D0C85F4">
      <w:pPr>
        <w:pStyle w:val="98"/>
        <w:snapToGrid w:val="0"/>
        <w:spacing w:before="120" w:after="120"/>
      </w:pPr>
      <w:r>
        <w:rPr>
          <w:rFonts w:hint="eastAsia"/>
        </w:rPr>
        <w:t>轮作周期确定</w:t>
      </w:r>
    </w:p>
    <w:p w14:paraId="047BB0B2">
      <w:pPr>
        <w:pStyle w:val="60"/>
        <w:ind w:firstLine="420"/>
      </w:pPr>
      <w:r>
        <w:rPr>
          <w:rFonts w:hint="eastAsia"/>
        </w:rPr>
        <w:t>应根据不同作物的生长周期和土壤的恢复能力，确定合理的轮作周期。一般来说，轮作周期应在 3 - 5 年之间，以保证土壤的肥力和生态功能得到充分恢复。</w:t>
      </w:r>
    </w:p>
    <w:p w14:paraId="183641FB">
      <w:pPr>
        <w:pStyle w:val="98"/>
        <w:snapToGrid w:val="0"/>
        <w:spacing w:before="120" w:after="120"/>
      </w:pPr>
      <w:r>
        <w:rPr>
          <w:rFonts w:hint="eastAsia"/>
        </w:rPr>
        <w:t>轮作计划制定</w:t>
      </w:r>
    </w:p>
    <w:p w14:paraId="748DFF31">
      <w:pPr>
        <w:pStyle w:val="60"/>
        <w:ind w:firstLine="420"/>
      </w:pPr>
      <w:r>
        <w:rPr>
          <w:rFonts w:hint="eastAsia"/>
        </w:rPr>
        <w:t>制定详细的轮作计划，明确轮作作物的种类、种植面积、种植时间和收获时间等。轮作计划应根据基地的实际情况和市场需求进行制定，确保轮作的顺利实施。</w:t>
      </w:r>
    </w:p>
    <w:p w14:paraId="0683DFCF">
      <w:pPr>
        <w:pStyle w:val="98"/>
        <w:snapToGrid w:val="0"/>
        <w:spacing w:before="120" w:after="120"/>
      </w:pPr>
      <w:r>
        <w:rPr>
          <w:rFonts w:hint="eastAsia"/>
        </w:rPr>
        <w:t>轮作过程管理</w:t>
      </w:r>
    </w:p>
    <w:p w14:paraId="0C2DB5FC">
      <w:pPr>
        <w:pStyle w:val="60"/>
        <w:ind w:firstLine="420"/>
      </w:pPr>
      <w:r>
        <w:rPr>
          <w:rFonts w:hint="eastAsia"/>
        </w:rPr>
        <w:t>在轮作过程中，应加强对作物的管理，确保作物的生长和发育。及时进行施肥、浇水、病虫害防治等工作，提高作物的产量和品质。同时，应加强对土壤的监测和管理，及时调整轮作计划，确保土壤的肥力和生态功能得到保护。</w:t>
      </w:r>
    </w:p>
    <w:p w14:paraId="50AB3759">
      <w:pPr>
        <w:pStyle w:val="108"/>
        <w:snapToGrid w:val="0"/>
        <w:spacing w:before="240" w:after="240"/>
        <w:ind w:left="0"/>
      </w:pPr>
      <w:bookmarkStart w:id="76" w:name="_Toc191227270"/>
      <w:bookmarkStart w:id="77" w:name="_Toc191226990"/>
      <w:bookmarkStart w:id="78" w:name="OLE_LINK17"/>
      <w:bookmarkStart w:id="79" w:name="OLE_LINK16"/>
      <w:r>
        <w:rPr>
          <w:rFonts w:hint="eastAsia"/>
        </w:rPr>
        <w:t>建设内容</w:t>
      </w:r>
      <w:bookmarkEnd w:id="76"/>
      <w:bookmarkEnd w:id="77"/>
    </w:p>
    <w:p w14:paraId="53773104">
      <w:pPr>
        <w:pStyle w:val="109"/>
        <w:snapToGrid w:val="0"/>
        <w:spacing w:before="120" w:after="120"/>
        <w:ind w:left="0"/>
      </w:pPr>
      <w:bookmarkStart w:id="80" w:name="_Toc191226991"/>
      <w:bookmarkStart w:id="81" w:name="_Toc191227271"/>
      <w:r>
        <w:rPr>
          <w:rFonts w:hint="eastAsia"/>
        </w:rPr>
        <w:t>基础设施</w:t>
      </w:r>
      <w:bookmarkEnd w:id="80"/>
      <w:bookmarkEnd w:id="81"/>
    </w:p>
    <w:p w14:paraId="1EA03E92">
      <w:pPr>
        <w:pStyle w:val="69"/>
        <w:snapToGrid w:val="0"/>
        <w:spacing w:before="120" w:after="120"/>
      </w:pPr>
      <w:r>
        <w:rPr>
          <w:rFonts w:hint="eastAsia"/>
        </w:rPr>
        <w:t>灌溉水源</w:t>
      </w:r>
    </w:p>
    <w:p w14:paraId="048D31E5">
      <w:pPr>
        <w:pStyle w:val="98"/>
        <w:snapToGrid w:val="0"/>
        <w:spacing w:before="120" w:after="120"/>
      </w:pPr>
      <w:r>
        <w:rPr>
          <w:rFonts w:hint="eastAsia"/>
        </w:rPr>
        <w:t>水源监测</w:t>
      </w:r>
    </w:p>
    <w:p w14:paraId="37BFE347">
      <w:pPr>
        <w:pStyle w:val="60"/>
        <w:ind w:firstLine="420"/>
      </w:pPr>
      <w:r>
        <w:rPr>
          <w:rFonts w:hint="eastAsia"/>
        </w:rPr>
        <w:t>建立完善的灌溉水源监测体系，定期对地表水和地下水的水质进行监测，确保灌溉水质符合 GB 5084 的要求。若发现水质不符合标准，应及时采取措施进行处理或更换水源。</w:t>
      </w:r>
    </w:p>
    <w:bookmarkEnd w:id="78"/>
    <w:p w14:paraId="577EE066">
      <w:pPr>
        <w:pStyle w:val="98"/>
        <w:snapToGrid w:val="0"/>
        <w:spacing w:before="120" w:after="120"/>
      </w:pPr>
      <w:r>
        <w:rPr>
          <w:rFonts w:hint="eastAsia"/>
        </w:rPr>
        <w:t>水资源利用规划</w:t>
      </w:r>
    </w:p>
    <w:p w14:paraId="39739F71">
      <w:pPr>
        <w:pStyle w:val="60"/>
        <w:ind w:firstLine="420"/>
      </w:pPr>
      <w:r>
        <w:rPr>
          <w:rFonts w:hint="eastAsia"/>
        </w:rPr>
        <w:t>应根据基地的实际情况，合理规划地表水和地下水的利用比例，严格控制深层地下水的开采，避免对地下水资源造成过度开采和破坏。</w:t>
      </w:r>
    </w:p>
    <w:p w14:paraId="23B88B98">
      <w:pPr>
        <w:pStyle w:val="69"/>
        <w:snapToGrid w:val="0"/>
        <w:spacing w:before="120" w:after="120"/>
      </w:pPr>
      <w:r>
        <w:rPr>
          <w:rFonts w:hint="eastAsia"/>
        </w:rPr>
        <w:t>灌溉设施</w:t>
      </w:r>
    </w:p>
    <w:p w14:paraId="79CFFC04">
      <w:pPr>
        <w:pStyle w:val="98"/>
        <w:snapToGrid w:val="0"/>
        <w:spacing w:before="120" w:after="120"/>
      </w:pPr>
      <w:r>
        <w:rPr>
          <w:rFonts w:hint="eastAsia"/>
        </w:rPr>
        <w:t>智能化灌溉系统</w:t>
      </w:r>
    </w:p>
    <w:p w14:paraId="3B040F54">
      <w:pPr>
        <w:pStyle w:val="60"/>
        <w:ind w:firstLine="420"/>
      </w:pPr>
      <w:r>
        <w:rPr>
          <w:rFonts w:hint="eastAsia"/>
        </w:rPr>
        <w:t>引入智能化灌溉系统，通过传感器和监测设备实时监测土壤湿度、气象条件等参数，应根据咖啡树的生长需求自动调节灌溉水量和时间，实现精准灌溉，节约用水的同时提高灌溉效率。</w:t>
      </w:r>
    </w:p>
    <w:p w14:paraId="25CCD652">
      <w:pPr>
        <w:pStyle w:val="98"/>
        <w:snapToGrid w:val="0"/>
        <w:spacing w:before="120" w:after="120"/>
      </w:pPr>
      <w:r>
        <w:rPr>
          <w:rFonts w:hint="eastAsia"/>
        </w:rPr>
        <w:t>灌溉管道铺设</w:t>
      </w:r>
    </w:p>
    <w:p w14:paraId="3E46C23C">
      <w:pPr>
        <w:pStyle w:val="60"/>
        <w:ind w:firstLine="420"/>
      </w:pPr>
      <w:r>
        <w:rPr>
          <w:rFonts w:hint="eastAsia"/>
        </w:rPr>
        <w:t>优化灌溉管道的铺设方式，采用管道喷灌、滴灌等先进的灌溉技术，减少水资源的浪费。确保灌溉管道的布局合理，覆盖范围广泛，应满足整个种植区域的灌溉需求。</w:t>
      </w:r>
    </w:p>
    <w:p w14:paraId="3B964559">
      <w:pPr>
        <w:pStyle w:val="69"/>
        <w:snapToGrid w:val="0"/>
        <w:spacing w:before="120" w:after="120"/>
      </w:pPr>
      <w:r>
        <w:rPr>
          <w:rFonts w:hint="eastAsia"/>
        </w:rPr>
        <w:t>排水设施</w:t>
      </w:r>
    </w:p>
    <w:p w14:paraId="0EEF4119">
      <w:pPr>
        <w:pStyle w:val="98"/>
        <w:snapToGrid w:val="0"/>
        <w:spacing w:before="120" w:after="120"/>
      </w:pPr>
      <w:r>
        <w:rPr>
          <w:rFonts w:hint="eastAsia"/>
        </w:rPr>
        <w:t>排水系统完善</w:t>
      </w:r>
    </w:p>
    <w:p w14:paraId="0BA126CA">
      <w:pPr>
        <w:pStyle w:val="60"/>
        <w:ind w:firstLine="420"/>
      </w:pPr>
      <w:r>
        <w:rPr>
          <w:rFonts w:hint="eastAsia"/>
        </w:rPr>
        <w:t>进一步完善排水系统，除了修建常规的排水渠道外，还可以考虑建设地下排水管道，提高排水能力。应加强对排水渠道的清理和维护，确保排水畅通，避免积水对咖啡树根部造成病害。</w:t>
      </w:r>
    </w:p>
    <w:p w14:paraId="4059CA88">
      <w:pPr>
        <w:pStyle w:val="98"/>
        <w:snapToGrid w:val="0"/>
        <w:spacing w:before="120" w:after="120"/>
      </w:pPr>
      <w:r>
        <w:rPr>
          <w:rFonts w:hint="eastAsia"/>
        </w:rPr>
        <w:t>雨水收集利用</w:t>
      </w:r>
    </w:p>
    <w:p w14:paraId="4FBB9142">
      <w:pPr>
        <w:pStyle w:val="60"/>
        <w:ind w:firstLine="420"/>
      </w:pPr>
      <w:r>
        <w:rPr>
          <w:rFonts w:hint="eastAsia"/>
        </w:rPr>
        <w:t>建设雨水收集设施，将收集到的雨水用于灌溉或其他农业生产活动，实现水资源的循环利用。同时，合理规划雨水排放路径，避免雨水对周边环境造成污染。</w:t>
      </w:r>
    </w:p>
    <w:p w14:paraId="69C06040">
      <w:pPr>
        <w:pStyle w:val="69"/>
        <w:snapToGrid w:val="0"/>
        <w:spacing w:before="120" w:after="120"/>
      </w:pPr>
      <w:r>
        <w:rPr>
          <w:rFonts w:hint="eastAsia"/>
        </w:rPr>
        <w:t>田间道路</w:t>
      </w:r>
    </w:p>
    <w:p w14:paraId="143957D6">
      <w:pPr>
        <w:pStyle w:val="98"/>
        <w:snapToGrid w:val="0"/>
        <w:spacing w:before="120" w:after="120"/>
      </w:pPr>
      <w:r>
        <w:rPr>
          <w:rFonts w:hint="eastAsia"/>
        </w:rPr>
        <w:t>道路质量提升</w:t>
      </w:r>
    </w:p>
    <w:p w14:paraId="76EB6563">
      <w:pPr>
        <w:pStyle w:val="60"/>
        <w:ind w:firstLine="420"/>
      </w:pPr>
      <w:r>
        <w:rPr>
          <w:rFonts w:hint="eastAsia"/>
        </w:rPr>
        <w:t>提高基地田间道路的建设质量，采用坚固、耐用的建筑材料，应确保道路承受大型农机具的通行压力。应加强对道路的养护和管理，定期对道路进行维修和保养，保持道路的平整度和畅通性。</w:t>
      </w:r>
    </w:p>
    <w:p w14:paraId="3F9D6D18">
      <w:pPr>
        <w:pStyle w:val="98"/>
        <w:snapToGrid w:val="0"/>
        <w:spacing w:before="120" w:after="120"/>
      </w:pPr>
      <w:r>
        <w:rPr>
          <w:rFonts w:hint="eastAsia"/>
        </w:rPr>
        <w:t>交通设施配套</w:t>
      </w:r>
    </w:p>
    <w:p w14:paraId="156EFB60">
      <w:pPr>
        <w:pStyle w:val="60"/>
        <w:ind w:firstLine="420"/>
      </w:pPr>
      <w:r>
        <w:rPr>
          <w:rFonts w:hint="eastAsia"/>
        </w:rPr>
        <w:t>在基地田间道路两侧设置交通标志和标线，规范车辆行驶和停放。建设桥梁、涵洞等交通设施，确保道路在跨越河流、沟渠等障碍物时的畅通性。同时，应加强对道路交通安全的宣传和教育，提高工作人员的交通安全意识。</w:t>
      </w:r>
    </w:p>
    <w:p w14:paraId="5DAE5A8E">
      <w:pPr>
        <w:pStyle w:val="69"/>
        <w:snapToGrid w:val="0"/>
        <w:spacing w:before="120" w:after="120"/>
      </w:pPr>
      <w:r>
        <w:rPr>
          <w:rFonts w:hint="eastAsia"/>
        </w:rPr>
        <w:t>运输道路</w:t>
      </w:r>
    </w:p>
    <w:p w14:paraId="04D4DAC6">
      <w:pPr>
        <w:pStyle w:val="98"/>
        <w:snapToGrid w:val="0"/>
        <w:spacing w:before="120" w:after="120"/>
      </w:pPr>
      <w:r>
        <w:rPr>
          <w:rFonts w:hint="eastAsia"/>
        </w:rPr>
        <w:t>道路网络扩展</w:t>
      </w:r>
    </w:p>
    <w:p w14:paraId="74D98198">
      <w:pPr>
        <w:pStyle w:val="60"/>
        <w:ind w:firstLine="420"/>
      </w:pPr>
      <w:r>
        <w:rPr>
          <w:rFonts w:hint="eastAsia"/>
        </w:rPr>
        <w:t>应根据基地的发展需求，拓展运输道路网络，连接基地内的各个区域，提高运输效率。应加强与外部交通网络的衔接，应确保咖啡产品及时运输到市场上。</w:t>
      </w:r>
    </w:p>
    <w:p w14:paraId="574D8FBD">
      <w:pPr>
        <w:pStyle w:val="98"/>
        <w:snapToGrid w:val="0"/>
        <w:spacing w:before="120" w:after="120"/>
      </w:pPr>
      <w:r>
        <w:rPr>
          <w:rFonts w:hint="eastAsia"/>
        </w:rPr>
        <w:t>运输设备更新</w:t>
      </w:r>
    </w:p>
    <w:p w14:paraId="559038AD">
      <w:pPr>
        <w:pStyle w:val="60"/>
        <w:ind w:firstLine="420"/>
      </w:pPr>
      <w:r>
        <w:rPr>
          <w:rFonts w:hint="eastAsia"/>
        </w:rPr>
        <w:t>更新和升级运输设备，选择节能环保、性能优良的运输车辆，提高运输效率，降低运输成本。同时，应加强对运输车辆的管理和维护，确保车辆的安全运行。</w:t>
      </w:r>
    </w:p>
    <w:p w14:paraId="18DB17B9">
      <w:pPr>
        <w:pStyle w:val="109"/>
        <w:snapToGrid w:val="0"/>
        <w:spacing w:before="120" w:after="120"/>
        <w:ind w:left="0"/>
      </w:pPr>
      <w:bookmarkStart w:id="82" w:name="_Toc191226992"/>
      <w:bookmarkStart w:id="83" w:name="_Toc191227272"/>
      <w:r>
        <w:rPr>
          <w:rFonts w:hint="eastAsia"/>
        </w:rPr>
        <w:t>种植设施</w:t>
      </w:r>
      <w:bookmarkEnd w:id="82"/>
      <w:bookmarkEnd w:id="83"/>
    </w:p>
    <w:p w14:paraId="2829C3A3">
      <w:pPr>
        <w:pStyle w:val="69"/>
        <w:snapToGrid w:val="0"/>
        <w:spacing w:before="120" w:after="120"/>
      </w:pPr>
      <w:r>
        <w:rPr>
          <w:rFonts w:hint="eastAsia"/>
        </w:rPr>
        <w:t>电力设施保障</w:t>
      </w:r>
    </w:p>
    <w:p w14:paraId="65431D3A">
      <w:pPr>
        <w:pStyle w:val="98"/>
        <w:snapToGrid w:val="0"/>
        <w:spacing w:before="120" w:after="120"/>
      </w:pPr>
      <w:r>
        <w:rPr>
          <w:rFonts w:hint="eastAsia"/>
        </w:rPr>
        <w:t>电力供应稳定性</w:t>
      </w:r>
    </w:p>
    <w:p w14:paraId="5AC5322E">
      <w:pPr>
        <w:pStyle w:val="60"/>
        <w:ind w:firstLine="420"/>
      </w:pPr>
      <w:r>
        <w:rPr>
          <w:rFonts w:hint="eastAsia"/>
        </w:rPr>
        <w:t>确保电力供应的稳定性，与当地电力部门建立良好的合作关系，保障基地的电力供应。安装备用发电设备，在停电情况下应及时启动，保证基地的生产和生活用电需求。</w:t>
      </w:r>
    </w:p>
    <w:p w14:paraId="5A22EF11">
      <w:pPr>
        <w:pStyle w:val="98"/>
        <w:snapToGrid w:val="0"/>
        <w:spacing w:before="120" w:after="120"/>
      </w:pPr>
      <w:r>
        <w:rPr>
          <w:rFonts w:hint="eastAsia"/>
        </w:rPr>
        <w:t>电力设备安全</w:t>
      </w:r>
    </w:p>
    <w:p w14:paraId="093A4FA6">
      <w:pPr>
        <w:pStyle w:val="60"/>
        <w:ind w:firstLine="420"/>
      </w:pPr>
      <w:r>
        <w:rPr>
          <w:rFonts w:hint="eastAsia"/>
        </w:rPr>
        <w:t>应加强对电力设备的安全管理，定期对电力设备进行检查和维护，确保设备的正常运行。安装漏电保护装置、防雷击装置等安全设施，保障工作人员的人身安全。</w:t>
      </w:r>
    </w:p>
    <w:p w14:paraId="1D0E3912">
      <w:pPr>
        <w:pStyle w:val="69"/>
        <w:snapToGrid w:val="0"/>
        <w:spacing w:before="120" w:after="120"/>
      </w:pPr>
      <w:r>
        <w:rPr>
          <w:rFonts w:hint="eastAsia"/>
        </w:rPr>
        <w:t>输配电优化</w:t>
      </w:r>
    </w:p>
    <w:p w14:paraId="45B02FFF">
      <w:pPr>
        <w:pStyle w:val="98"/>
        <w:snapToGrid w:val="0"/>
        <w:spacing w:before="120" w:after="120"/>
      </w:pPr>
      <w:r>
        <w:rPr>
          <w:rFonts w:hint="eastAsia"/>
        </w:rPr>
        <w:t>输电线路规划</w:t>
      </w:r>
    </w:p>
    <w:p w14:paraId="132E15EB">
      <w:pPr>
        <w:pStyle w:val="60"/>
        <w:ind w:firstLine="420"/>
      </w:pPr>
      <w:r>
        <w:rPr>
          <w:rFonts w:hint="eastAsia"/>
        </w:rPr>
        <w:t>合理规划输配电线路，避免线路过长导致电压降过大。选择合适的输电线路材料，确保线路的导电性和安全性。</w:t>
      </w:r>
    </w:p>
    <w:p w14:paraId="6A0B8866">
      <w:pPr>
        <w:pStyle w:val="98"/>
        <w:snapToGrid w:val="0"/>
        <w:spacing w:before="120" w:after="120"/>
      </w:pPr>
      <w:r>
        <w:rPr>
          <w:rFonts w:hint="eastAsia"/>
        </w:rPr>
        <w:t>配电设备升级</w:t>
      </w:r>
    </w:p>
    <w:p w14:paraId="577C9B74">
      <w:pPr>
        <w:pStyle w:val="60"/>
        <w:ind w:firstLine="420"/>
      </w:pPr>
      <w:r>
        <w:rPr>
          <w:rFonts w:hint="eastAsia"/>
        </w:rPr>
        <w:t>升级配电设备，采用先进的智能配电系统，实现对电力的精准分配和控制。应加强对配电设备的监测和管理，及时发现和处理设备故障，确保电力供应的稳定。</w:t>
      </w:r>
    </w:p>
    <w:p w14:paraId="62648848">
      <w:pPr>
        <w:pStyle w:val="69"/>
        <w:snapToGrid w:val="0"/>
        <w:spacing w:before="120" w:after="120"/>
      </w:pPr>
      <w:r>
        <w:rPr>
          <w:rFonts w:hint="eastAsia"/>
        </w:rPr>
        <w:t>荫蔽树种植优化</w:t>
      </w:r>
    </w:p>
    <w:p w14:paraId="45CD1583">
      <w:pPr>
        <w:pStyle w:val="98"/>
        <w:snapToGrid w:val="0"/>
        <w:spacing w:before="120" w:after="120"/>
      </w:pPr>
      <w:r>
        <w:rPr>
          <w:rFonts w:hint="eastAsia"/>
        </w:rPr>
        <w:t>树种选择适应性</w:t>
      </w:r>
    </w:p>
    <w:p w14:paraId="67BF16E2">
      <w:pPr>
        <w:pStyle w:val="60"/>
        <w:ind w:firstLine="420"/>
      </w:pPr>
      <w:r>
        <w:rPr>
          <w:rFonts w:hint="eastAsia"/>
        </w:rPr>
        <w:t>应根据当地的气候、土壤等自然条件，选择适应性强、生长良好的短期和长期荫蔽树品种。同时，考虑树种的生态功能和经济价值，选择既能为咖啡生长提供适宜光照条件，又能增加基地经济效益的树种。</w:t>
      </w:r>
    </w:p>
    <w:p w14:paraId="28DDC334">
      <w:pPr>
        <w:pStyle w:val="98"/>
        <w:snapToGrid w:val="0"/>
        <w:spacing w:before="120" w:after="120"/>
      </w:pPr>
      <w:r>
        <w:rPr>
          <w:rFonts w:hint="eastAsia"/>
        </w:rPr>
        <w:t>种植管理精细化</w:t>
      </w:r>
    </w:p>
    <w:p w14:paraId="5E967955">
      <w:pPr>
        <w:pStyle w:val="60"/>
        <w:ind w:firstLine="420"/>
      </w:pPr>
      <w:r>
        <w:rPr>
          <w:rFonts w:hint="eastAsia"/>
        </w:rPr>
        <w:t>应加强对荫蔽树的种植管理，定期对荫蔽树进行修剪和养护，保持树冠的形态和结构合理。应根据咖啡树的生长需求，适时调整荫蔽树的种植密度和分布，应确保咖啡树得到充足的光照和养分。</w:t>
      </w:r>
    </w:p>
    <w:p w14:paraId="4DB98ABE">
      <w:pPr>
        <w:pStyle w:val="69"/>
        <w:snapToGrid w:val="0"/>
        <w:spacing w:before="120" w:after="120"/>
      </w:pPr>
      <w:r>
        <w:rPr>
          <w:rFonts w:hint="eastAsia"/>
        </w:rPr>
        <w:t>育苗设施完善</w:t>
      </w:r>
    </w:p>
    <w:p w14:paraId="620C8532">
      <w:pPr>
        <w:pStyle w:val="98"/>
        <w:snapToGrid w:val="0"/>
        <w:spacing w:before="120" w:after="120"/>
      </w:pPr>
      <w:r>
        <w:rPr>
          <w:rFonts w:hint="eastAsia"/>
        </w:rPr>
        <w:t>育苗技术创新</w:t>
      </w:r>
    </w:p>
    <w:p w14:paraId="155EB7C4">
      <w:pPr>
        <w:pStyle w:val="60"/>
        <w:ind w:firstLine="420"/>
      </w:pPr>
      <w:r>
        <w:rPr>
          <w:rFonts w:hint="eastAsia"/>
        </w:rPr>
        <w:t>引入先进的育苗技术和设备，提高育苗效率和质量。应采用无土栽培技术、智能化育苗系统等，为幼苗提供良好的生长环境。</w:t>
      </w:r>
    </w:p>
    <w:p w14:paraId="6DBCA38E">
      <w:pPr>
        <w:pStyle w:val="98"/>
        <w:snapToGrid w:val="0"/>
        <w:spacing w:before="120" w:after="120"/>
      </w:pPr>
      <w:r>
        <w:rPr>
          <w:rFonts w:hint="eastAsia"/>
        </w:rPr>
        <w:t>种苗质量控制</w:t>
      </w:r>
    </w:p>
    <w:p w14:paraId="78DB781E">
      <w:pPr>
        <w:pStyle w:val="60"/>
        <w:ind w:firstLine="420"/>
      </w:pPr>
      <w:r>
        <w:rPr>
          <w:rFonts w:hint="eastAsia"/>
        </w:rPr>
        <w:t>应加强对种苗质量的控制，建立完善的种苗质量检测体系，对种苗的品种、纯度、生长状况等进行严格检测。确保培育出的种苗健康、强壮，应适应基地的种植环境。</w:t>
      </w:r>
    </w:p>
    <w:p w14:paraId="169C08B8">
      <w:pPr>
        <w:pStyle w:val="109"/>
        <w:snapToGrid w:val="0"/>
        <w:spacing w:before="120" w:after="120"/>
        <w:ind w:left="0"/>
      </w:pPr>
      <w:bookmarkStart w:id="84" w:name="_Toc191227273"/>
      <w:bookmarkStart w:id="85" w:name="_Toc191226993"/>
      <w:r>
        <w:rPr>
          <w:rFonts w:hint="eastAsia"/>
        </w:rPr>
        <w:t>农机具配备</w:t>
      </w:r>
      <w:bookmarkEnd w:id="84"/>
      <w:bookmarkEnd w:id="85"/>
    </w:p>
    <w:p w14:paraId="7B072B05">
      <w:pPr>
        <w:pStyle w:val="69"/>
        <w:snapToGrid w:val="0"/>
        <w:spacing w:before="120" w:after="120"/>
      </w:pPr>
      <w:r>
        <w:rPr>
          <w:rFonts w:hint="eastAsia"/>
        </w:rPr>
        <w:t>农机具种类拓展</w:t>
      </w:r>
    </w:p>
    <w:p w14:paraId="5D0A5726">
      <w:pPr>
        <w:pStyle w:val="98"/>
        <w:snapToGrid w:val="0"/>
        <w:spacing w:before="120" w:after="120"/>
      </w:pPr>
      <w:r>
        <w:rPr>
          <w:rFonts w:hint="eastAsia"/>
        </w:rPr>
        <w:t>多元化农机具配置</w:t>
      </w:r>
    </w:p>
    <w:p w14:paraId="70BE4237">
      <w:pPr>
        <w:pStyle w:val="60"/>
        <w:ind w:firstLine="420"/>
      </w:pPr>
      <w:r>
        <w:rPr>
          <w:rFonts w:hint="eastAsia"/>
        </w:rPr>
        <w:t>应根据农作物种类、基地规模、生产条件等因素，选择配套相应形式和规格的农机具，除了拖拉机、收割机、播种机等常规农机具外，还应配备一些专用的农机具，包括咖啡采摘机、咖啡脱皮机等，提高生产效率。</w:t>
      </w:r>
    </w:p>
    <w:p w14:paraId="4DFF2A05">
      <w:pPr>
        <w:pStyle w:val="98"/>
        <w:snapToGrid w:val="0"/>
        <w:spacing w:before="120" w:after="120"/>
      </w:pPr>
      <w:r>
        <w:rPr>
          <w:rFonts w:hint="eastAsia"/>
        </w:rPr>
        <w:t>智能化农机具应用</w:t>
      </w:r>
    </w:p>
    <w:p w14:paraId="50FBED56">
      <w:pPr>
        <w:pStyle w:val="60"/>
        <w:ind w:firstLine="420"/>
      </w:pPr>
      <w:r>
        <w:rPr>
          <w:rFonts w:hint="eastAsia"/>
        </w:rPr>
        <w:t>应加大对智能化农机具的应用力度，包括无人机、农用机器人等，实现农业生产的智能化、自动化。应利用无人机进行农药喷洒、施肥等作业，提高作业效率，减少人工成本。</w:t>
      </w:r>
    </w:p>
    <w:p w14:paraId="6BCCEF2E">
      <w:pPr>
        <w:pStyle w:val="69"/>
        <w:snapToGrid w:val="0"/>
        <w:spacing w:before="120" w:after="120"/>
      </w:pPr>
      <w:r>
        <w:rPr>
          <w:rFonts w:hint="eastAsia"/>
        </w:rPr>
        <w:t>农机具操作人员培训</w:t>
      </w:r>
    </w:p>
    <w:p w14:paraId="3000A9FA">
      <w:pPr>
        <w:pStyle w:val="60"/>
        <w:ind w:firstLine="420"/>
      </w:pPr>
      <w:r>
        <w:rPr>
          <w:rFonts w:hint="eastAsia"/>
        </w:rPr>
        <w:t>培训体系建立：建立完善的农机具操作人员培训体系，定期组织操作人员进行培训，提高操作人员的技术水平和操作技能。培训内容包括农机具的操作原理、维护保养、安全注意事项等。</w:t>
      </w:r>
    </w:p>
    <w:p w14:paraId="2485B5D0">
      <w:pPr>
        <w:pStyle w:val="60"/>
        <w:ind w:firstLine="420"/>
      </w:pPr>
      <w:r>
        <w:rPr>
          <w:rFonts w:hint="eastAsia"/>
        </w:rPr>
        <w:t>考核机制完善：建立健全农机具操作人员考核机制，对操作人员的技能水平进行考核，考核合格后方可上岗操作。通过考核机制，提高操作人员的责任心和工作积极性，确保农机具的安全运行。</w:t>
      </w:r>
    </w:p>
    <w:p w14:paraId="389CA5CF">
      <w:pPr>
        <w:pStyle w:val="109"/>
        <w:snapToGrid w:val="0"/>
        <w:spacing w:before="120" w:after="120"/>
        <w:ind w:left="0"/>
      </w:pPr>
      <w:bookmarkStart w:id="86" w:name="_Toc191227274"/>
      <w:bookmarkStart w:id="87" w:name="_Toc191226994"/>
      <w:r>
        <w:rPr>
          <w:rFonts w:hint="eastAsia"/>
        </w:rPr>
        <w:t>病虫害防控设施</w:t>
      </w:r>
      <w:bookmarkEnd w:id="86"/>
      <w:bookmarkEnd w:id="87"/>
    </w:p>
    <w:p w14:paraId="6C91C758">
      <w:pPr>
        <w:pStyle w:val="69"/>
        <w:snapToGrid w:val="0"/>
        <w:spacing w:before="120" w:after="120"/>
      </w:pPr>
      <w:r>
        <w:rPr>
          <w:rFonts w:hint="eastAsia"/>
        </w:rPr>
        <w:t>病虫害监测技术升级</w:t>
      </w:r>
    </w:p>
    <w:p w14:paraId="2F99704F">
      <w:pPr>
        <w:pStyle w:val="98"/>
        <w:snapToGrid w:val="0"/>
        <w:spacing w:before="120" w:after="120"/>
      </w:pPr>
      <w:r>
        <w:rPr>
          <w:rFonts w:hint="eastAsia"/>
        </w:rPr>
        <w:t>监测设备更新</w:t>
      </w:r>
    </w:p>
    <w:p w14:paraId="2C764B8F">
      <w:pPr>
        <w:pStyle w:val="60"/>
        <w:ind w:firstLine="420"/>
      </w:pPr>
      <w:r>
        <w:rPr>
          <w:rFonts w:hint="eastAsia"/>
        </w:rPr>
        <w:t>应引进先进的病虫害监测设备，包括无人机、遥感技术等，提高病虫害监测的准确性和及时性。同时，应加强对监测数据的分析和处理，为病虫害防控提供科学依据。</w:t>
      </w:r>
    </w:p>
    <w:p w14:paraId="513D8404">
      <w:pPr>
        <w:pStyle w:val="98"/>
        <w:snapToGrid w:val="0"/>
        <w:spacing w:before="120" w:after="120"/>
      </w:pPr>
      <w:r>
        <w:rPr>
          <w:rFonts w:hint="eastAsia"/>
        </w:rPr>
        <w:t>监测网络完善</w:t>
      </w:r>
    </w:p>
    <w:p w14:paraId="3FFE69D7">
      <w:pPr>
        <w:pStyle w:val="60"/>
        <w:ind w:firstLine="420"/>
      </w:pPr>
      <w:r>
        <w:rPr>
          <w:rFonts w:hint="eastAsia"/>
        </w:rPr>
        <w:t>建立完善的病虫害监测网络，应加强对基地内病虫害的监测和预警。在基地内设置多个监测点，定期对病虫害进行监测，及时发现病虫害的发生情况，并采取相应的防控措施。</w:t>
      </w:r>
    </w:p>
    <w:p w14:paraId="1E2F3586">
      <w:pPr>
        <w:pStyle w:val="69"/>
        <w:snapToGrid w:val="0"/>
        <w:spacing w:before="120" w:after="120"/>
      </w:pPr>
      <w:r>
        <w:rPr>
          <w:rFonts w:hint="eastAsia"/>
        </w:rPr>
        <w:t>病虫害防控措施优化</w:t>
      </w:r>
    </w:p>
    <w:p w14:paraId="1425160C">
      <w:pPr>
        <w:pStyle w:val="98"/>
        <w:snapToGrid w:val="0"/>
        <w:spacing w:before="120" w:after="120"/>
      </w:pPr>
      <w:r>
        <w:rPr>
          <w:rFonts w:hint="eastAsia"/>
        </w:rPr>
        <w:t>绿色防控技术推广</w:t>
      </w:r>
    </w:p>
    <w:p w14:paraId="6DCB7EF5">
      <w:pPr>
        <w:pStyle w:val="60"/>
        <w:ind w:firstLine="420"/>
      </w:pPr>
      <w:r>
        <w:rPr>
          <w:rFonts w:hint="eastAsia"/>
        </w:rPr>
        <w:t>应推广绿色防控技术，包括生物防治、物理防治等，减少化学农药的使用量，降低农药残留对环境和人体健康的影响。应利用天敌昆虫、微生物等进行生物防治，利用灯光、诱虫板等进行物理防治。</w:t>
      </w:r>
    </w:p>
    <w:p w14:paraId="32D26A7A">
      <w:pPr>
        <w:pStyle w:val="98"/>
        <w:snapToGrid w:val="0"/>
        <w:spacing w:before="120" w:after="120"/>
      </w:pPr>
      <w:r>
        <w:rPr>
          <w:rFonts w:hint="eastAsia"/>
        </w:rPr>
        <w:t>防控策略制定</w:t>
      </w:r>
    </w:p>
    <w:p w14:paraId="4D4B8C55">
      <w:pPr>
        <w:pStyle w:val="60"/>
        <w:ind w:firstLine="420"/>
      </w:pPr>
      <w:r>
        <w:rPr>
          <w:rFonts w:hint="eastAsia"/>
        </w:rPr>
        <w:t>应根据病虫害的发生规律和特点，制定科学合理的防控策略。在病虫害发生初期，采取预防为主、综合防治的措施，及时采取措施进行防控，避免病虫害的扩散和蔓延。</w:t>
      </w:r>
    </w:p>
    <w:p w14:paraId="665373B1">
      <w:pPr>
        <w:pStyle w:val="109"/>
        <w:snapToGrid w:val="0"/>
        <w:spacing w:before="120" w:after="120"/>
        <w:ind w:left="0"/>
      </w:pPr>
      <w:bookmarkStart w:id="88" w:name="_Toc191226995"/>
      <w:bookmarkStart w:id="89" w:name="_Toc191227275"/>
      <w:r>
        <w:rPr>
          <w:rFonts w:hint="eastAsia"/>
        </w:rPr>
        <w:t>种子加工设施设备</w:t>
      </w:r>
      <w:bookmarkEnd w:id="88"/>
      <w:bookmarkEnd w:id="89"/>
    </w:p>
    <w:p w14:paraId="2A8A2CD6">
      <w:pPr>
        <w:pStyle w:val="69"/>
        <w:snapToGrid w:val="0"/>
        <w:spacing w:before="120" w:after="120"/>
      </w:pPr>
      <w:r>
        <w:rPr>
          <w:rFonts w:hint="eastAsia"/>
        </w:rPr>
        <w:t>晾晒场环境优化</w:t>
      </w:r>
    </w:p>
    <w:p w14:paraId="11E6D7ED">
      <w:pPr>
        <w:pStyle w:val="60"/>
        <w:ind w:firstLine="420"/>
      </w:pPr>
      <w:r>
        <w:rPr>
          <w:rFonts w:hint="eastAsia"/>
        </w:rPr>
        <w:t>改善晾晒场的环境条件，增加遮阳设施，避免阳光直射对种子造成伤害。同时，应加强对晾晒场的通风管理，确保空气流通，加快种子的干燥速度。</w:t>
      </w:r>
    </w:p>
    <w:p w14:paraId="5FF64BD4">
      <w:pPr>
        <w:pStyle w:val="69"/>
        <w:snapToGrid w:val="0"/>
        <w:spacing w:before="120" w:after="120"/>
      </w:pPr>
      <w:r>
        <w:rPr>
          <w:rFonts w:hint="eastAsia"/>
        </w:rPr>
        <w:t>种子储藏库环境</w:t>
      </w:r>
    </w:p>
    <w:p w14:paraId="06C7EEB8">
      <w:pPr>
        <w:pStyle w:val="60"/>
        <w:ind w:firstLine="420"/>
      </w:pPr>
      <w:r>
        <w:rPr>
          <w:rFonts w:hint="eastAsia"/>
        </w:rPr>
        <w:t>建立满足温度和湿度要求的种子储藏库，安装先进的温度和湿度控制系统，确保储藏库内的环境条件稳定。同时，应加强对储藏库的通风管理，保持储藏库内的空气流通。</w:t>
      </w:r>
    </w:p>
    <w:p w14:paraId="3F1DAF22">
      <w:pPr>
        <w:pStyle w:val="109"/>
        <w:snapToGrid w:val="0"/>
        <w:spacing w:before="120" w:after="120"/>
        <w:ind w:left="0"/>
      </w:pPr>
      <w:bookmarkStart w:id="90" w:name="_Toc191226996"/>
      <w:bookmarkStart w:id="91" w:name="_Toc191227276"/>
      <w:r>
        <w:rPr>
          <w:rFonts w:hint="eastAsia"/>
        </w:rPr>
        <w:t>配套设施</w:t>
      </w:r>
      <w:bookmarkEnd w:id="90"/>
      <w:bookmarkEnd w:id="91"/>
    </w:p>
    <w:p w14:paraId="70D47E38">
      <w:pPr>
        <w:pStyle w:val="69"/>
        <w:snapToGrid w:val="0"/>
        <w:spacing w:before="120" w:after="120"/>
      </w:pPr>
      <w:r>
        <w:rPr>
          <w:rFonts w:hint="eastAsia"/>
        </w:rPr>
        <w:t>农资仓库</w:t>
      </w:r>
    </w:p>
    <w:p w14:paraId="22FB2681">
      <w:pPr>
        <w:pStyle w:val="98"/>
        <w:snapToGrid w:val="0"/>
        <w:spacing w:before="120" w:after="120"/>
      </w:pPr>
      <w:r>
        <w:rPr>
          <w:rFonts w:hint="eastAsia"/>
        </w:rPr>
        <w:t>仓库布局优化</w:t>
      </w:r>
    </w:p>
    <w:p w14:paraId="1800D598">
      <w:pPr>
        <w:pStyle w:val="60"/>
        <w:ind w:firstLine="420"/>
      </w:pPr>
      <w:r>
        <w:rPr>
          <w:rFonts w:hint="eastAsia"/>
        </w:rPr>
        <w:t>合理规划农资仓库的布局，将农药、化肥、种子等农资分类存放，避免相互混淆。同时，设置专门的存放区域，确保农资的存放安全。</w:t>
      </w:r>
    </w:p>
    <w:p w14:paraId="730EDA91">
      <w:pPr>
        <w:pStyle w:val="98"/>
        <w:snapToGrid w:val="0"/>
        <w:spacing w:before="120" w:after="120"/>
      </w:pPr>
      <w:r>
        <w:rPr>
          <w:rFonts w:hint="eastAsia"/>
        </w:rPr>
        <w:t>仓库设施完善</w:t>
      </w:r>
    </w:p>
    <w:p w14:paraId="1BE3EF47">
      <w:pPr>
        <w:pStyle w:val="60"/>
        <w:ind w:firstLine="420"/>
      </w:pPr>
      <w:r>
        <w:rPr>
          <w:rFonts w:hint="eastAsia"/>
        </w:rPr>
        <w:t>完善农资仓库的设施设备，安装通风设备、防潮设备、防虫设备等，确保农资的质量安全。同时，应加强对仓库的安全管理，设置防火、防盗等设施。</w:t>
      </w:r>
    </w:p>
    <w:p w14:paraId="125F415A">
      <w:pPr>
        <w:pStyle w:val="69"/>
        <w:snapToGrid w:val="0"/>
        <w:spacing w:before="120" w:after="120"/>
      </w:pPr>
      <w:r>
        <w:rPr>
          <w:rFonts w:hint="eastAsia"/>
        </w:rPr>
        <w:t>产品仓库</w:t>
      </w:r>
    </w:p>
    <w:p w14:paraId="6B5AC2E7">
      <w:pPr>
        <w:pStyle w:val="98"/>
        <w:snapToGrid w:val="0"/>
        <w:spacing w:before="120" w:after="120"/>
      </w:pPr>
      <w:r>
        <w:rPr>
          <w:rFonts w:hint="eastAsia"/>
        </w:rPr>
        <w:t>仓库功能</w:t>
      </w:r>
    </w:p>
    <w:p w14:paraId="13F41460">
      <w:pPr>
        <w:pStyle w:val="60"/>
        <w:ind w:firstLine="420"/>
      </w:pPr>
      <w:r>
        <w:rPr>
          <w:rFonts w:hint="eastAsia"/>
        </w:rPr>
        <w:t>除了储存咖啡产品外，还可以拓展产品仓库的功能，包括进行产品初加工、包装等。</w:t>
      </w:r>
    </w:p>
    <w:p w14:paraId="15BE757A">
      <w:pPr>
        <w:pStyle w:val="98"/>
        <w:snapToGrid w:val="0"/>
        <w:spacing w:before="120" w:after="120"/>
      </w:pPr>
      <w:r>
        <w:rPr>
          <w:rFonts w:hint="eastAsia"/>
        </w:rPr>
        <w:t>仓库环境</w:t>
      </w:r>
    </w:p>
    <w:p w14:paraId="46AD918D">
      <w:pPr>
        <w:pStyle w:val="60"/>
        <w:ind w:firstLine="420"/>
      </w:pPr>
      <w:r>
        <w:rPr>
          <w:rFonts w:hint="eastAsia"/>
        </w:rPr>
        <w:t>改善产品仓库的环境条件，安装空调、除湿机等设备，确保仓库内的温度和湿度符合产品储存的要求。同时，应加强对仓库的卫生管理，定期对仓库进行清洁和消毒。</w:t>
      </w:r>
    </w:p>
    <w:p w14:paraId="0BB5ABF6">
      <w:pPr>
        <w:pStyle w:val="69"/>
        <w:snapToGrid w:val="0"/>
        <w:spacing w:before="120" w:after="120"/>
      </w:pPr>
      <w:r>
        <w:rPr>
          <w:rFonts w:hint="eastAsia"/>
        </w:rPr>
        <w:t>管理用房</w:t>
      </w:r>
    </w:p>
    <w:p w14:paraId="5392B8C2">
      <w:pPr>
        <w:pStyle w:val="98"/>
        <w:snapToGrid w:val="0"/>
        <w:spacing w:before="120" w:after="120"/>
      </w:pPr>
      <w:r>
        <w:rPr>
          <w:rFonts w:hint="eastAsia"/>
        </w:rPr>
        <w:t>建筑质量提升</w:t>
      </w:r>
    </w:p>
    <w:p w14:paraId="3EC6D3C0">
      <w:pPr>
        <w:pStyle w:val="60"/>
        <w:ind w:firstLine="420"/>
      </w:pPr>
      <w:r>
        <w:rPr>
          <w:rFonts w:hint="eastAsia"/>
        </w:rPr>
        <w:t>提高管理用房的建筑质量，采用坚固、耐用的建筑材料，确保管理用房的使用寿命。同时，应加强对管理用房的装修和装饰，营造良好的工作和生活环境。</w:t>
      </w:r>
    </w:p>
    <w:p w14:paraId="6CB64E74">
      <w:pPr>
        <w:pStyle w:val="98"/>
        <w:snapToGrid w:val="0"/>
        <w:spacing w:before="120" w:after="120"/>
      </w:pPr>
      <w:r>
        <w:rPr>
          <w:rFonts w:hint="eastAsia"/>
        </w:rPr>
        <w:t>功能分区明确</w:t>
      </w:r>
    </w:p>
    <w:p w14:paraId="28ECB2F3">
      <w:pPr>
        <w:pStyle w:val="60"/>
        <w:ind w:firstLine="420"/>
      </w:pPr>
      <w:r>
        <w:rPr>
          <w:rFonts w:hint="eastAsia"/>
        </w:rPr>
        <w:t>明确管理用房的功能分区，包括办公室、宿舍、食堂、会议室等。合理布局各个功能区域，提高空间利用率。</w:t>
      </w:r>
    </w:p>
    <w:p w14:paraId="1B99E308">
      <w:pPr>
        <w:pStyle w:val="98"/>
        <w:snapToGrid w:val="0"/>
        <w:spacing w:before="120" w:after="120"/>
        <w:rPr>
          <w:rFonts w:hint="eastAsia" w:hAnsi="黑体" w:cs="黑体"/>
        </w:rPr>
      </w:pPr>
      <w:r>
        <w:rPr>
          <w:rFonts w:hint="eastAsia" w:hAnsi="黑体" w:cs="黑体"/>
        </w:rPr>
        <w:t>配套设施完善</w:t>
      </w:r>
    </w:p>
    <w:p w14:paraId="79A759B5">
      <w:pPr>
        <w:pStyle w:val="60"/>
        <w:ind w:firstLine="420"/>
      </w:pPr>
      <w:r>
        <w:rPr>
          <w:rFonts w:hint="eastAsia"/>
        </w:rPr>
        <w:t>应完善管理用房的配套设施，包括安装水电设施、网络设施等，为工作人员提供便利的生活条件。同时，应加强对管理用房的安全管理，设置消防设施、监控设备等。</w:t>
      </w:r>
    </w:p>
    <w:p w14:paraId="2429709D">
      <w:pPr>
        <w:pStyle w:val="108"/>
        <w:snapToGrid w:val="0"/>
        <w:spacing w:before="240" w:after="240"/>
        <w:ind w:left="0"/>
      </w:pPr>
      <w:bookmarkStart w:id="92" w:name="_Toc191227277"/>
      <w:bookmarkStart w:id="93" w:name="_Toc191226997"/>
      <w:r>
        <w:rPr>
          <w:rFonts w:hint="eastAsia"/>
        </w:rPr>
        <w:t>种植管理</w:t>
      </w:r>
      <w:bookmarkEnd w:id="92"/>
      <w:bookmarkEnd w:id="93"/>
    </w:p>
    <w:p w14:paraId="64D1F440">
      <w:pPr>
        <w:pStyle w:val="109"/>
        <w:snapToGrid w:val="0"/>
        <w:spacing w:before="120" w:after="120"/>
        <w:ind w:left="0"/>
      </w:pPr>
      <w:bookmarkStart w:id="94" w:name="_Toc191226998"/>
      <w:bookmarkStart w:id="95" w:name="_Toc191227278"/>
      <w:r>
        <w:rPr>
          <w:rFonts w:hint="eastAsia"/>
        </w:rPr>
        <w:t>种苗繁育</w:t>
      </w:r>
      <w:bookmarkEnd w:id="94"/>
      <w:bookmarkEnd w:id="95"/>
    </w:p>
    <w:p w14:paraId="65942473">
      <w:pPr>
        <w:pStyle w:val="69"/>
        <w:snapToGrid w:val="0"/>
        <w:spacing w:before="120" w:after="120"/>
      </w:pPr>
      <w:r>
        <w:rPr>
          <w:rFonts w:hint="eastAsia"/>
        </w:rPr>
        <w:t>基本要求</w:t>
      </w:r>
    </w:p>
    <w:p w14:paraId="7F472A83">
      <w:pPr>
        <w:pStyle w:val="168"/>
      </w:pPr>
      <w:r>
        <w:rPr>
          <w:rFonts w:hint="eastAsia"/>
        </w:rPr>
        <w:t>兴隆咖啡种植基地的种子应符合T/HNBX 111-2021的要求。</w:t>
      </w:r>
    </w:p>
    <w:p w14:paraId="6836E284">
      <w:pPr>
        <w:pStyle w:val="168"/>
      </w:pPr>
      <w:r>
        <w:rPr>
          <w:rFonts w:hint="eastAsia"/>
        </w:rPr>
        <w:t>兴隆咖啡种植基地的种苗应符合T/HNBX 113-2021的要求。</w:t>
      </w:r>
    </w:p>
    <w:p w14:paraId="1C9CD6C5">
      <w:pPr>
        <w:pStyle w:val="168"/>
      </w:pPr>
      <w:r>
        <w:rPr>
          <w:rFonts w:hint="eastAsia"/>
        </w:rPr>
        <w:t xml:space="preserve">兴隆咖啡种植基地的种苗繁育应符合T/HNBX 114-2021的要求。 </w:t>
      </w:r>
    </w:p>
    <w:p w14:paraId="47E7FDDC">
      <w:pPr>
        <w:pStyle w:val="168"/>
      </w:pPr>
      <w:r>
        <w:rPr>
          <w:rFonts w:hint="eastAsia"/>
        </w:rPr>
        <w:t>兴隆咖啡种植基地的种植管理应符合T/HNBX 115-2021的要求。</w:t>
      </w:r>
    </w:p>
    <w:p w14:paraId="2A02C6E7">
      <w:pPr>
        <w:pStyle w:val="69"/>
        <w:snapToGrid w:val="0"/>
        <w:spacing w:before="120" w:after="120"/>
      </w:pPr>
      <w:r>
        <w:rPr>
          <w:rFonts w:hint="eastAsia"/>
        </w:rPr>
        <w:t>品种选择</w:t>
      </w:r>
    </w:p>
    <w:p w14:paraId="47954790">
      <w:pPr>
        <w:pStyle w:val="98"/>
        <w:snapToGrid w:val="0"/>
        <w:spacing w:before="120" w:after="120"/>
      </w:pPr>
      <w:r>
        <w:rPr>
          <w:rFonts w:hint="eastAsia"/>
        </w:rPr>
        <w:t>基础品种选择</w:t>
      </w:r>
    </w:p>
    <w:p w14:paraId="44E72944">
      <w:pPr>
        <w:pStyle w:val="60"/>
        <w:ind w:firstLine="420"/>
      </w:pPr>
      <w:r>
        <w:rPr>
          <w:rFonts w:hint="eastAsia"/>
        </w:rPr>
        <w:t>应挑选抗病、优质、高产、商品性好的兴隆中粒种（罗巴斯塔种），种子应符合 T/HNBX 111 要求。</w:t>
      </w:r>
    </w:p>
    <w:p w14:paraId="7326FA41">
      <w:pPr>
        <w:pStyle w:val="98"/>
        <w:snapToGrid w:val="0"/>
        <w:spacing w:before="120" w:after="120"/>
      </w:pPr>
      <w:r>
        <w:rPr>
          <w:rFonts w:hint="eastAsia"/>
        </w:rPr>
        <w:t>本地品种改良</w:t>
      </w:r>
    </w:p>
    <w:p w14:paraId="395B86AD">
      <w:pPr>
        <w:pStyle w:val="60"/>
        <w:ind w:firstLine="420"/>
      </w:pPr>
      <w:r>
        <w:rPr>
          <w:rFonts w:hint="eastAsia"/>
        </w:rPr>
        <w:t>应对本地品种开展选育，利用杂交、诱变等方式改良性状，提高抗病性、产量和品质。</w:t>
      </w:r>
    </w:p>
    <w:p w14:paraId="074A6674">
      <w:pPr>
        <w:pStyle w:val="98"/>
        <w:snapToGrid w:val="0"/>
        <w:spacing w:before="120" w:after="120"/>
      </w:pPr>
      <w:r>
        <w:rPr>
          <w:rFonts w:hint="eastAsia"/>
        </w:rPr>
        <w:t>外来品种引进</w:t>
      </w:r>
    </w:p>
    <w:p w14:paraId="4C492E2E">
      <w:pPr>
        <w:pStyle w:val="60"/>
        <w:ind w:firstLine="420"/>
      </w:pPr>
      <w:r>
        <w:rPr>
          <w:rFonts w:hint="eastAsia"/>
        </w:rPr>
        <w:t>积极引入国内外优良品种，试种筛选后，推广适合当地种植条件的品种。</w:t>
      </w:r>
    </w:p>
    <w:p w14:paraId="2E7D83D6">
      <w:pPr>
        <w:pStyle w:val="69"/>
        <w:snapToGrid w:val="0"/>
        <w:spacing w:before="120" w:after="120"/>
      </w:pPr>
      <w:r>
        <w:rPr>
          <w:rFonts w:hint="eastAsia"/>
        </w:rPr>
        <w:t>种苗检测</w:t>
      </w:r>
    </w:p>
    <w:p w14:paraId="20377C84">
      <w:pPr>
        <w:pStyle w:val="60"/>
        <w:ind w:firstLine="420"/>
      </w:pPr>
      <w:r>
        <w:rPr>
          <w:rFonts w:hint="eastAsia"/>
        </w:rPr>
        <w:t>应构建种苗繁育全过程的质量检测流程；针对种子与种苗，开展全方位、精细化检验，涵盖外观检查，仔细查看种苗是否存在损伤、病虫害迹象；进行尺寸测量，精准把控种苗高度、根茎粗细等指标；实施品种纯度鉴定，确保种苗品种纯正，切实保障种苗契合相关标准。</w:t>
      </w:r>
    </w:p>
    <w:p w14:paraId="0BB08A48">
      <w:pPr>
        <w:pStyle w:val="69"/>
        <w:snapToGrid w:val="0"/>
        <w:spacing w:before="120" w:after="120"/>
      </w:pPr>
      <w:r>
        <w:rPr>
          <w:rFonts w:hint="eastAsia"/>
        </w:rPr>
        <w:t>播种</w:t>
      </w:r>
    </w:p>
    <w:p w14:paraId="0EB593B9">
      <w:pPr>
        <w:pStyle w:val="60"/>
        <w:ind w:firstLine="420"/>
      </w:pPr>
      <w:r>
        <w:rPr>
          <w:rFonts w:hint="eastAsia"/>
        </w:rPr>
        <w:t>播种量约为</w:t>
      </w:r>
      <w:r>
        <w:rPr>
          <w:rFonts w:ascii="Times New Roman"/>
        </w:rPr>
        <w:t>300 g/m</w:t>
      </w:r>
      <w:r>
        <w:rPr>
          <w:rFonts w:ascii="Times New Roman"/>
          <w:vertAlign w:val="superscript"/>
        </w:rPr>
        <w:t>2</w:t>
      </w:r>
      <w:r>
        <w:rPr>
          <w:rFonts w:hint="eastAsia"/>
        </w:rPr>
        <w:t>，表面覆盖一层薄沙，厚度以淋水后种子不露为宜，再盖上椰子叶、稻草等覆</w:t>
      </w:r>
    </w:p>
    <w:p w14:paraId="66F0D016">
      <w:pPr>
        <w:pStyle w:val="60"/>
        <w:snapToGrid w:val="0"/>
        <w:spacing w:line="360" w:lineRule="auto"/>
        <w:ind w:firstLine="0" w:firstLineChars="0"/>
      </w:pPr>
      <w:r>
        <w:rPr>
          <w:rFonts w:hint="eastAsia"/>
        </w:rPr>
        <w:t>盖物，淋足水。</w:t>
      </w:r>
    </w:p>
    <w:p w14:paraId="3F6BB874">
      <w:pPr>
        <w:pStyle w:val="109"/>
        <w:snapToGrid w:val="0"/>
        <w:spacing w:before="120" w:after="120"/>
        <w:ind w:left="0"/>
      </w:pPr>
      <w:bookmarkStart w:id="96" w:name="_Toc191226999"/>
      <w:bookmarkStart w:id="97" w:name="_Toc191227279"/>
      <w:r>
        <w:rPr>
          <w:rFonts w:hint="eastAsia"/>
        </w:rPr>
        <w:t>定植</w:t>
      </w:r>
      <w:bookmarkEnd w:id="96"/>
      <w:bookmarkEnd w:id="97"/>
      <w:r>
        <w:rPr>
          <w:rFonts w:hint="eastAsia"/>
        </w:rPr>
        <w:t>管理</w:t>
      </w:r>
    </w:p>
    <w:p w14:paraId="22901987">
      <w:pPr>
        <w:pStyle w:val="69"/>
        <w:snapToGrid w:val="0"/>
        <w:spacing w:before="120" w:after="120"/>
      </w:pPr>
      <w:r>
        <w:rPr>
          <w:rFonts w:hint="eastAsia"/>
        </w:rPr>
        <w:t>定植时间</w:t>
      </w:r>
    </w:p>
    <w:p w14:paraId="0D300C4A">
      <w:pPr>
        <w:pStyle w:val="60"/>
        <w:ind w:firstLine="420"/>
      </w:pPr>
      <w:r>
        <w:rPr>
          <w:rFonts w:hint="eastAsia"/>
        </w:rPr>
        <w:t>以春季、秋季定植为宜，选择阴天或晴天下午进行，避免阳光直射和高温时段。</w:t>
      </w:r>
    </w:p>
    <w:p w14:paraId="075427DC">
      <w:pPr>
        <w:pStyle w:val="69"/>
        <w:snapToGrid w:val="0"/>
        <w:spacing w:before="120" w:after="120"/>
      </w:pPr>
      <w:r>
        <w:rPr>
          <w:rFonts w:hint="eastAsia"/>
        </w:rPr>
        <w:t>定植前准备</w:t>
      </w:r>
    </w:p>
    <w:p w14:paraId="4289E682">
      <w:pPr>
        <w:pStyle w:val="60"/>
        <w:ind w:firstLine="420"/>
      </w:pPr>
      <w:r>
        <w:rPr>
          <w:rFonts w:hint="eastAsia"/>
        </w:rPr>
        <w:t>苗木选择：在定植前，对种苗进行严格筛选，选择生长健壮、根系完整、无病虫害的种苗进行定植。</w:t>
      </w:r>
    </w:p>
    <w:p w14:paraId="3F5CDCEC">
      <w:pPr>
        <w:pStyle w:val="60"/>
        <w:ind w:firstLine="420"/>
      </w:pPr>
      <w:r>
        <w:rPr>
          <w:rFonts w:hint="eastAsia"/>
        </w:rPr>
        <w:t>土壤处理：对定植土壤进行改良和处理，深耕土壤，施入有机肥和复合肥，提高土壤肥力和保水能力。</w:t>
      </w:r>
    </w:p>
    <w:p w14:paraId="68941F73">
      <w:pPr>
        <w:pStyle w:val="69"/>
        <w:snapToGrid w:val="0"/>
        <w:spacing w:before="120" w:after="120"/>
      </w:pPr>
      <w:r>
        <w:rPr>
          <w:rFonts w:hint="eastAsia"/>
        </w:rPr>
        <w:t>定植方法</w:t>
      </w:r>
    </w:p>
    <w:p w14:paraId="15877731">
      <w:pPr>
        <w:pStyle w:val="60"/>
        <w:ind w:firstLine="420"/>
      </w:pPr>
      <w:r>
        <w:rPr>
          <w:rFonts w:hint="eastAsia"/>
        </w:rPr>
        <w:t>在植穴中心位置挖穴，拆除营养袋，将苗置于穴内，分层回土并压实，淋足定根水，并用秸秆、椰糠等材料覆盖树盘。</w:t>
      </w:r>
    </w:p>
    <w:p w14:paraId="08F4424F">
      <w:pPr>
        <w:pStyle w:val="69"/>
        <w:snapToGrid w:val="0"/>
        <w:spacing w:before="120" w:after="120"/>
      </w:pPr>
      <w:r>
        <w:rPr>
          <w:rFonts w:hint="eastAsia"/>
        </w:rPr>
        <w:t>定植后养护</w:t>
      </w:r>
    </w:p>
    <w:p w14:paraId="1DA08A52">
      <w:pPr>
        <w:pStyle w:val="60"/>
        <w:ind w:firstLine="420"/>
      </w:pPr>
      <w:r>
        <w:rPr>
          <w:rFonts w:hint="eastAsia"/>
        </w:rPr>
        <w:t>定植后，应加强对咖啡树的养护管理，及时浇水、施肥、除草、松土等，确保咖啡树的正常生长。</w:t>
      </w:r>
    </w:p>
    <w:p w14:paraId="32E7396A">
      <w:pPr>
        <w:pStyle w:val="69"/>
        <w:snapToGrid w:val="0"/>
        <w:spacing w:before="120" w:after="120"/>
      </w:pPr>
      <w:r>
        <w:rPr>
          <w:rFonts w:hint="eastAsia"/>
        </w:rPr>
        <w:t>成活率监测</w:t>
      </w:r>
    </w:p>
    <w:p w14:paraId="6B92783D">
      <w:pPr>
        <w:pStyle w:val="60"/>
        <w:ind w:firstLine="420"/>
      </w:pPr>
      <w:r>
        <w:rPr>
          <w:rFonts w:hint="eastAsia"/>
        </w:rPr>
        <w:t>定期对定植成活率进行监测，发现死苗、弱苗，及时补种，确保种植密度和产量。</w:t>
      </w:r>
    </w:p>
    <w:p w14:paraId="6D1BA91A">
      <w:pPr>
        <w:pStyle w:val="109"/>
        <w:snapToGrid w:val="0"/>
        <w:spacing w:before="120" w:after="120"/>
        <w:ind w:left="0"/>
      </w:pPr>
      <w:bookmarkStart w:id="98" w:name="_Toc191227280"/>
      <w:bookmarkStart w:id="99" w:name="_Toc191227000"/>
      <w:r>
        <w:rPr>
          <w:rFonts w:hint="eastAsia"/>
        </w:rPr>
        <w:t>土壤管理</w:t>
      </w:r>
      <w:bookmarkEnd w:id="98"/>
      <w:bookmarkEnd w:id="99"/>
    </w:p>
    <w:p w14:paraId="59334ED8">
      <w:pPr>
        <w:pStyle w:val="69"/>
        <w:snapToGrid w:val="0"/>
        <w:spacing w:before="120" w:after="120"/>
      </w:pPr>
      <w:r>
        <w:rPr>
          <w:rFonts w:hint="eastAsia"/>
        </w:rPr>
        <w:t>土壤肥力提升</w:t>
      </w:r>
    </w:p>
    <w:p w14:paraId="20648CD0">
      <w:pPr>
        <w:pStyle w:val="98"/>
        <w:snapToGrid w:val="0"/>
        <w:spacing w:before="120" w:after="120"/>
      </w:pPr>
      <w:r>
        <w:rPr>
          <w:rFonts w:hint="eastAsia"/>
        </w:rPr>
        <w:t>有机肥施用</w:t>
      </w:r>
    </w:p>
    <w:p w14:paraId="4C7AC0F5">
      <w:pPr>
        <w:pStyle w:val="60"/>
        <w:ind w:firstLine="420"/>
      </w:pPr>
      <w:r>
        <w:rPr>
          <w:rFonts w:hint="eastAsia"/>
        </w:rPr>
        <w:t>应增加有机肥的施用量，包括腐熟的农家肥、堆肥等，改善土壤结构，提高土壤肥力。</w:t>
      </w:r>
    </w:p>
    <w:p w14:paraId="1C495617">
      <w:pPr>
        <w:pStyle w:val="98"/>
        <w:snapToGrid w:val="0"/>
        <w:spacing w:before="120" w:after="120"/>
      </w:pPr>
      <w:r>
        <w:rPr>
          <w:rFonts w:hint="eastAsia"/>
        </w:rPr>
        <w:t>绿肥种植</w:t>
      </w:r>
    </w:p>
    <w:p w14:paraId="44787716">
      <w:pPr>
        <w:pStyle w:val="60"/>
        <w:ind w:firstLine="420"/>
      </w:pPr>
      <w:r>
        <w:rPr>
          <w:rFonts w:hint="eastAsia"/>
        </w:rPr>
        <w:t>在咖啡基地种植绿肥，包括紫云英、苜蓿等，通过绿肥的根系生长和残体还田，增加土壤有机质含量，改善土壤肥力。</w:t>
      </w:r>
    </w:p>
    <w:p w14:paraId="5C7D72D0">
      <w:pPr>
        <w:pStyle w:val="69"/>
        <w:snapToGrid w:val="0"/>
        <w:spacing w:before="120" w:after="120"/>
      </w:pPr>
      <w:r>
        <w:rPr>
          <w:rFonts w:hint="eastAsia"/>
        </w:rPr>
        <w:t>土壤酸碱度调节</w:t>
      </w:r>
    </w:p>
    <w:p w14:paraId="53AA7E03">
      <w:pPr>
        <w:pStyle w:val="98"/>
        <w:snapToGrid w:val="0"/>
        <w:spacing w:before="120" w:after="120"/>
      </w:pPr>
      <w:r>
        <w:rPr>
          <w:rFonts w:hint="eastAsia"/>
        </w:rPr>
        <w:t>酸性土壤改良</w:t>
      </w:r>
    </w:p>
    <w:p w14:paraId="4EB11ADF">
      <w:pPr>
        <w:pStyle w:val="60"/>
        <w:ind w:firstLine="420"/>
      </w:pPr>
      <w:r>
        <w:rPr>
          <w:rFonts w:hint="eastAsia"/>
        </w:rPr>
        <w:t>对于酸性土壤，应施用石灰等碱性物质进行改良，调节土壤酸碱度，提高土壤的缓冲能力。</w:t>
      </w:r>
    </w:p>
    <w:p w14:paraId="7B60B86C">
      <w:pPr>
        <w:pStyle w:val="98"/>
        <w:snapToGrid w:val="0"/>
        <w:spacing w:before="120" w:after="120"/>
      </w:pPr>
      <w:r>
        <w:rPr>
          <w:rFonts w:hint="eastAsia"/>
        </w:rPr>
        <w:t>碱性土壤改良</w:t>
      </w:r>
    </w:p>
    <w:p w14:paraId="488FF827">
      <w:pPr>
        <w:pStyle w:val="60"/>
        <w:ind w:firstLine="420"/>
      </w:pPr>
      <w:r>
        <w:rPr>
          <w:rFonts w:hint="eastAsia"/>
        </w:rPr>
        <w:t>对于碱性土壤，应施用有机肥、硫酸亚铁等酸性物质进行改良，调节土壤酸碱度，改善土壤结构。</w:t>
      </w:r>
    </w:p>
    <w:p w14:paraId="562FBFD1">
      <w:pPr>
        <w:pStyle w:val="109"/>
        <w:snapToGrid w:val="0"/>
        <w:spacing w:before="120" w:after="120"/>
        <w:ind w:left="0"/>
      </w:pPr>
      <w:bookmarkStart w:id="100" w:name="_Toc191227281"/>
      <w:bookmarkStart w:id="101" w:name="_Toc191227001"/>
      <w:r>
        <w:rPr>
          <w:rFonts w:hint="eastAsia"/>
        </w:rPr>
        <w:t>施肥管理</w:t>
      </w:r>
      <w:bookmarkEnd w:id="100"/>
      <w:bookmarkEnd w:id="101"/>
    </w:p>
    <w:p w14:paraId="00DE91FE">
      <w:pPr>
        <w:pStyle w:val="69"/>
        <w:snapToGrid w:val="0"/>
        <w:spacing w:before="120" w:after="120"/>
      </w:pPr>
      <w:r>
        <w:rPr>
          <w:rFonts w:hint="eastAsia"/>
        </w:rPr>
        <w:t>施肥方式创新</w:t>
      </w:r>
    </w:p>
    <w:p w14:paraId="75936150">
      <w:pPr>
        <w:pStyle w:val="98"/>
        <w:snapToGrid w:val="0"/>
        <w:spacing w:before="120" w:after="120"/>
      </w:pPr>
      <w:r>
        <w:rPr>
          <w:rFonts w:hint="eastAsia"/>
        </w:rPr>
        <w:t>叶面施肥</w:t>
      </w:r>
    </w:p>
    <w:p w14:paraId="32092211">
      <w:pPr>
        <w:pStyle w:val="60"/>
        <w:ind w:firstLine="420"/>
      </w:pPr>
      <w:r>
        <w:rPr>
          <w:rFonts w:hint="eastAsia"/>
        </w:rPr>
        <w:t>除了根部施肥外，还可以采用叶面施肥的方式，将肥料溶解在水中，通过喷雾器均匀喷洒在咖啡树的叶面上，使肥料直接被叶片吸收，提高肥料利用率。</w:t>
      </w:r>
    </w:p>
    <w:bookmarkEnd w:id="79"/>
    <w:p w14:paraId="236CA9B0">
      <w:pPr>
        <w:pStyle w:val="98"/>
        <w:snapToGrid w:val="0"/>
        <w:spacing w:before="120" w:after="120"/>
      </w:pPr>
      <w:r>
        <w:rPr>
          <w:rFonts w:hint="eastAsia"/>
        </w:rPr>
        <w:t>滴灌施肥</w:t>
      </w:r>
    </w:p>
    <w:p w14:paraId="1AB691AB">
      <w:pPr>
        <w:pStyle w:val="60"/>
        <w:ind w:firstLine="420"/>
      </w:pPr>
      <w:r>
        <w:rPr>
          <w:rFonts w:hint="eastAsia"/>
        </w:rPr>
        <w:t>利用滴灌系统进行施肥，将肥料溶解在水中，通过滴灌设备均匀地滴入土壤中，应使肥料准确地供应到咖啡树的根系周围，提高肥料利用率，减少肥料浪费。</w:t>
      </w:r>
    </w:p>
    <w:p w14:paraId="68FF0098">
      <w:pPr>
        <w:pStyle w:val="69"/>
        <w:snapToGrid w:val="0"/>
        <w:spacing w:before="120" w:after="120"/>
      </w:pPr>
      <w:r>
        <w:rPr>
          <w:rFonts w:hint="eastAsia"/>
        </w:rPr>
        <w:t>肥料配方优化</w:t>
      </w:r>
    </w:p>
    <w:p w14:paraId="19C6BF42">
      <w:pPr>
        <w:pStyle w:val="98"/>
        <w:snapToGrid w:val="0"/>
        <w:spacing w:before="120" w:after="120"/>
      </w:pPr>
      <w:r>
        <w:rPr>
          <w:rFonts w:hint="eastAsia"/>
        </w:rPr>
        <w:t>根据土壤养分状况施肥</w:t>
      </w:r>
    </w:p>
    <w:p w14:paraId="78A3FA00">
      <w:pPr>
        <w:pStyle w:val="60"/>
        <w:ind w:firstLine="420"/>
      </w:pPr>
      <w:r>
        <w:rPr>
          <w:rFonts w:hint="eastAsia"/>
        </w:rPr>
        <w:t>定期对土壤进行养分检测，应根据土壤养分状况和咖啡树的生长需求，制定合理的施肥配方，确保肥料的合理施用。</w:t>
      </w:r>
    </w:p>
    <w:p w14:paraId="45BAC697">
      <w:pPr>
        <w:pStyle w:val="98"/>
        <w:snapToGrid w:val="0"/>
        <w:spacing w:before="120" w:after="120"/>
      </w:pPr>
      <w:r>
        <w:rPr>
          <w:rFonts w:hint="eastAsia"/>
        </w:rPr>
        <w:t>根据咖啡树生长阶段施肥</w:t>
      </w:r>
    </w:p>
    <w:p w14:paraId="29615A9C">
      <w:pPr>
        <w:pStyle w:val="60"/>
        <w:ind w:firstLine="420"/>
      </w:pPr>
      <w:r>
        <w:rPr>
          <w:rFonts w:hint="eastAsia"/>
        </w:rPr>
        <w:t>应根据咖啡树的生长阶段，包括幼龄树、结果树施肥，满足咖啡树在不同生长阶段对养分的需求。</w:t>
      </w:r>
    </w:p>
    <w:p w14:paraId="16DDDEA7">
      <w:pPr>
        <w:pStyle w:val="109"/>
        <w:snapToGrid w:val="0"/>
        <w:spacing w:before="120" w:after="120"/>
        <w:ind w:left="0"/>
      </w:pPr>
      <w:bookmarkStart w:id="102" w:name="_Toc191227002"/>
      <w:bookmarkStart w:id="103" w:name="_Toc191227282"/>
      <w:r>
        <w:rPr>
          <w:rFonts w:hint="eastAsia"/>
        </w:rPr>
        <w:t>灌溉管理</w:t>
      </w:r>
      <w:bookmarkEnd w:id="102"/>
      <w:bookmarkEnd w:id="103"/>
    </w:p>
    <w:p w14:paraId="58B36730">
      <w:pPr>
        <w:pStyle w:val="69"/>
        <w:snapToGrid w:val="0"/>
        <w:spacing w:before="120" w:after="120"/>
      </w:pPr>
      <w:r>
        <w:rPr>
          <w:rFonts w:hint="eastAsia"/>
        </w:rPr>
        <w:t>智能灌溉控制器</w:t>
      </w:r>
    </w:p>
    <w:p w14:paraId="758A70F4">
      <w:pPr>
        <w:pStyle w:val="60"/>
        <w:ind w:firstLine="420"/>
      </w:pPr>
      <w:r>
        <w:rPr>
          <w:rFonts w:hint="eastAsia"/>
        </w:rPr>
        <w:t>应安装智能灌溉控制器，根据土壤湿度、气象条件等因素，自动调节灌溉水量和时间，实现精准灌溉，节约用水。</w:t>
      </w:r>
    </w:p>
    <w:p w14:paraId="5B1C3CA5">
      <w:pPr>
        <w:pStyle w:val="98"/>
        <w:numPr>
          <w:ilvl w:val="2"/>
          <w:numId w:val="32"/>
        </w:numPr>
        <w:snapToGrid w:val="0"/>
        <w:spacing w:before="120" w:after="120"/>
      </w:pPr>
      <w:r>
        <w:rPr>
          <w:rFonts w:hint="eastAsia"/>
        </w:rPr>
        <w:t>远程监控系统</w:t>
      </w:r>
    </w:p>
    <w:p w14:paraId="654F7775">
      <w:pPr>
        <w:pStyle w:val="60"/>
        <w:ind w:firstLine="420"/>
      </w:pPr>
      <w:r>
        <w:rPr>
          <w:rFonts w:hint="eastAsia"/>
        </w:rPr>
        <w:t>建立远程监控系统，对灌溉系统进行实时监控，及时发现和处理灌溉系统故障，确保灌溉系统的正常运行。</w:t>
      </w:r>
    </w:p>
    <w:p w14:paraId="34A6A476">
      <w:pPr>
        <w:pStyle w:val="109"/>
        <w:snapToGrid w:val="0"/>
        <w:spacing w:before="120" w:after="120"/>
        <w:ind w:left="0"/>
      </w:pPr>
      <w:bookmarkStart w:id="104" w:name="_Toc191227003"/>
      <w:bookmarkStart w:id="105" w:name="_Toc191227283"/>
      <w:r>
        <w:rPr>
          <w:rFonts w:hint="eastAsia"/>
        </w:rPr>
        <w:t>整形修剪</w:t>
      </w:r>
      <w:bookmarkEnd w:id="104"/>
      <w:bookmarkEnd w:id="105"/>
    </w:p>
    <w:p w14:paraId="78001E5A">
      <w:pPr>
        <w:pStyle w:val="69"/>
        <w:snapToGrid w:val="0"/>
        <w:spacing w:before="120" w:after="120"/>
      </w:pPr>
      <w:r>
        <w:rPr>
          <w:rFonts w:hint="eastAsia"/>
        </w:rPr>
        <w:t>整形修剪原则</w:t>
      </w:r>
    </w:p>
    <w:p w14:paraId="37995A95">
      <w:pPr>
        <w:pStyle w:val="60"/>
        <w:ind w:firstLine="420"/>
      </w:pPr>
      <w:r>
        <w:rPr>
          <w:rFonts w:hint="eastAsia"/>
        </w:rPr>
        <w:t xml:space="preserve">    根据品种、种植密度及产量要求等，制定合理的整形修剪方案，提高果实产量和品质。</w:t>
      </w:r>
    </w:p>
    <w:p w14:paraId="1134D196">
      <w:pPr>
        <w:pStyle w:val="69"/>
        <w:snapToGrid w:val="0"/>
        <w:spacing w:before="120" w:after="120"/>
      </w:pPr>
      <w:r>
        <w:rPr>
          <w:rFonts w:hint="eastAsia"/>
        </w:rPr>
        <w:t>整形修剪方式</w:t>
      </w:r>
    </w:p>
    <w:p w14:paraId="32591799">
      <w:pPr>
        <w:pStyle w:val="60"/>
        <w:ind w:firstLine="420"/>
      </w:pPr>
      <w:r>
        <w:rPr>
          <w:rFonts w:hint="eastAsia"/>
        </w:rPr>
        <w:t>通过截顶，剪除过密、细弱、荫蔽分枝，控制树体高度及冠幅，提高树体通风透光性。</w:t>
      </w:r>
    </w:p>
    <w:p w14:paraId="1EEB1396">
      <w:pPr>
        <w:pStyle w:val="108"/>
        <w:snapToGrid w:val="0"/>
        <w:spacing w:before="240" w:after="240"/>
        <w:ind w:left="0"/>
      </w:pPr>
      <w:bookmarkStart w:id="106" w:name="_Toc191227004"/>
      <w:bookmarkStart w:id="107" w:name="_Toc191227284"/>
      <w:r>
        <w:rPr>
          <w:rFonts w:hint="eastAsia"/>
        </w:rPr>
        <w:t>病虫害防治</w:t>
      </w:r>
      <w:bookmarkEnd w:id="106"/>
      <w:bookmarkEnd w:id="107"/>
    </w:p>
    <w:p w14:paraId="3B5B3483">
      <w:pPr>
        <w:pStyle w:val="109"/>
        <w:snapToGrid w:val="0"/>
        <w:spacing w:before="120" w:after="120"/>
        <w:ind w:left="0"/>
      </w:pPr>
      <w:bookmarkStart w:id="108" w:name="_Toc191227005"/>
      <w:bookmarkStart w:id="109" w:name="_Toc191227285"/>
      <w:r>
        <w:rPr>
          <w:rFonts w:hint="eastAsia"/>
        </w:rPr>
        <w:t>一般要求</w:t>
      </w:r>
      <w:bookmarkEnd w:id="108"/>
      <w:bookmarkEnd w:id="109"/>
    </w:p>
    <w:p w14:paraId="34FA6952">
      <w:pPr>
        <w:pStyle w:val="69"/>
        <w:snapToGrid w:val="0"/>
        <w:spacing w:before="120" w:after="120"/>
      </w:pPr>
      <w:r>
        <w:rPr>
          <w:rFonts w:hint="eastAsia"/>
        </w:rPr>
        <w:t>防治原则</w:t>
      </w:r>
    </w:p>
    <w:p w14:paraId="05A73F91">
      <w:pPr>
        <w:pStyle w:val="60"/>
        <w:ind w:firstLine="420"/>
      </w:pPr>
      <w:r>
        <w:rPr>
          <w:rFonts w:hint="eastAsia"/>
        </w:rPr>
        <w:t>应贯彻 “预防为主，综合防治” 的植保方针，以农业防治为基础，协调运用生物防治、物理防治和化学防治等措施。在防治时，应综合分析咖啡树生长状况、环境条件、病虫害发生特点，制定科学合理的防治方案；同时制定长期规划，注重生态平衡，避免过度依赖化学防治。</w:t>
      </w:r>
    </w:p>
    <w:p w14:paraId="7C3E49CE">
      <w:pPr>
        <w:pStyle w:val="69"/>
        <w:snapToGrid w:val="0"/>
        <w:spacing w:before="120" w:after="120"/>
      </w:pPr>
      <w:r>
        <w:rPr>
          <w:rFonts w:hint="eastAsia"/>
        </w:rPr>
        <w:t>农业防治</w:t>
      </w:r>
    </w:p>
    <w:p w14:paraId="7CA26383">
      <w:pPr>
        <w:pStyle w:val="98"/>
        <w:snapToGrid w:val="0"/>
        <w:spacing w:before="120" w:after="120"/>
      </w:pPr>
      <w:r>
        <w:rPr>
          <w:rFonts w:hint="eastAsia"/>
        </w:rPr>
        <w:t>合理密植与栽培管理</w:t>
      </w:r>
    </w:p>
    <w:p w14:paraId="7CD08635">
      <w:pPr>
        <w:pStyle w:val="60"/>
        <w:ind w:firstLine="420"/>
      </w:pPr>
      <w:r>
        <w:rPr>
          <w:rFonts w:hint="eastAsia"/>
        </w:rPr>
        <w:t>应根据咖啡品种特性和土壤条件，合理规划种植密度，保证植株有充足生长空间。应加强日常栽培管理，包括适时浇水、中耕除草等，为咖啡树生长创造良好环境。</w:t>
      </w:r>
    </w:p>
    <w:p w14:paraId="66B99590">
      <w:pPr>
        <w:pStyle w:val="98"/>
        <w:snapToGrid w:val="0"/>
        <w:spacing w:before="120" w:after="120"/>
      </w:pPr>
      <w:r>
        <w:rPr>
          <w:rFonts w:hint="eastAsia"/>
        </w:rPr>
        <w:t>施肥管理优化</w:t>
      </w:r>
    </w:p>
    <w:p w14:paraId="78ABAE52">
      <w:pPr>
        <w:pStyle w:val="60"/>
        <w:ind w:firstLine="420"/>
      </w:pPr>
      <w:r>
        <w:rPr>
          <w:rFonts w:hint="eastAsia"/>
        </w:rPr>
        <w:t>应依据土壤肥力检测结果和咖啡树不同生长阶段需求，进行平衡施肥，增强植株抗病虫害能力；增加有机肥施用量，改善土壤结构，提高土壤肥力，促进咖啡树健康生长。</w:t>
      </w:r>
    </w:p>
    <w:p w14:paraId="6D4B670A">
      <w:pPr>
        <w:pStyle w:val="98"/>
        <w:snapToGrid w:val="0"/>
        <w:spacing w:before="120" w:after="120"/>
      </w:pPr>
      <w:r>
        <w:rPr>
          <w:rFonts w:hint="eastAsia"/>
        </w:rPr>
        <w:t>修剪与疏枝</w:t>
      </w:r>
    </w:p>
    <w:p w14:paraId="00BCD02A">
      <w:pPr>
        <w:pStyle w:val="60"/>
        <w:ind w:firstLine="420"/>
      </w:pPr>
      <w:r>
        <w:rPr>
          <w:rFonts w:hint="eastAsia"/>
        </w:rPr>
        <w:t>应定期对咖啡树进行修剪，及时去除病枝、枯枝、弱枝等，保持树冠通风透光，减少病虫害滋生；应根据咖啡树生长情况，合理调整枝条密度，避免枝条过于拥挤影响生长发育。</w:t>
      </w:r>
    </w:p>
    <w:p w14:paraId="668A9387">
      <w:pPr>
        <w:pStyle w:val="98"/>
        <w:snapToGrid w:val="0"/>
        <w:spacing w:before="120" w:after="120"/>
      </w:pPr>
      <w:r>
        <w:rPr>
          <w:rFonts w:hint="eastAsia"/>
        </w:rPr>
        <w:t>清园与卫生保持</w:t>
      </w:r>
    </w:p>
    <w:p w14:paraId="6D4A8BB1">
      <w:pPr>
        <w:pStyle w:val="60"/>
        <w:ind w:firstLine="420"/>
      </w:pPr>
      <w:r>
        <w:rPr>
          <w:rFonts w:hint="eastAsia"/>
        </w:rPr>
        <w:t>应及时清理园区内的落叶、落果、杂草等，减少病虫害滋生和越冬场所，保持园区卫生，降低病虫害发生几率。</w:t>
      </w:r>
    </w:p>
    <w:p w14:paraId="5FDDEEF3">
      <w:pPr>
        <w:pStyle w:val="69"/>
        <w:snapToGrid w:val="0"/>
        <w:spacing w:before="120" w:after="120"/>
      </w:pPr>
      <w:r>
        <w:rPr>
          <w:rFonts w:hint="eastAsia"/>
        </w:rPr>
        <w:t>生物防治</w:t>
      </w:r>
    </w:p>
    <w:p w14:paraId="6024BE9C">
      <w:pPr>
        <w:pStyle w:val="98"/>
        <w:snapToGrid w:val="0"/>
        <w:spacing w:before="120" w:after="120"/>
      </w:pPr>
      <w:r>
        <w:rPr>
          <w:rFonts w:hint="eastAsia"/>
        </w:rPr>
        <w:t>天敌保护与引进</w:t>
      </w:r>
    </w:p>
    <w:p w14:paraId="7CB15ACF">
      <w:pPr>
        <w:pStyle w:val="60"/>
        <w:ind w:firstLine="420"/>
      </w:pPr>
      <w:r>
        <w:rPr>
          <w:rFonts w:hint="eastAsia"/>
        </w:rPr>
        <w:t>应在基地内保护好现有天敌，包括寄生蜂、捕食螨等，为其营造适宜生存环境，发挥其自然控制病虫害的作用；应根据病虫害发生情况，应有针对性地引进有益生物，包括捕食螨、七星瓢虫等，增加天敌数量，提高生物防治效果。</w:t>
      </w:r>
    </w:p>
    <w:p w14:paraId="3AF5A5DE">
      <w:pPr>
        <w:pStyle w:val="98"/>
        <w:snapToGrid w:val="0"/>
        <w:spacing w:before="120" w:after="120"/>
      </w:pPr>
      <w:r>
        <w:rPr>
          <w:rFonts w:hint="eastAsia"/>
        </w:rPr>
        <w:t>微生物防治应用</w:t>
      </w:r>
    </w:p>
    <w:p w14:paraId="7CE91A6C">
      <w:pPr>
        <w:pStyle w:val="60"/>
        <w:ind w:firstLine="420"/>
      </w:pPr>
      <w:r>
        <w:rPr>
          <w:rFonts w:hint="eastAsia"/>
        </w:rPr>
        <w:t>应利用有益微生物，包括芽孢杆菌、木霉菌等，抑制或杀灭病虫害，减少化学农药使用；应加强对微生物制剂的研发和应用，开发高效、安全、环保的微生物制剂用于病虫害防治，为病虫害防治提供更多的选择。</w:t>
      </w:r>
    </w:p>
    <w:p w14:paraId="15A7AD34">
      <w:pPr>
        <w:pStyle w:val="69"/>
        <w:snapToGrid w:val="0"/>
        <w:spacing w:before="120" w:after="120"/>
      </w:pPr>
      <w:r>
        <w:rPr>
          <w:rFonts w:hint="eastAsia"/>
        </w:rPr>
        <w:t>物理防治</w:t>
      </w:r>
    </w:p>
    <w:p w14:paraId="5CAC630E">
      <w:pPr>
        <w:pStyle w:val="98"/>
        <w:snapToGrid w:val="0"/>
        <w:spacing w:before="120" w:after="120"/>
      </w:pPr>
      <w:r>
        <w:rPr>
          <w:rFonts w:hint="eastAsia"/>
        </w:rPr>
        <w:t>设备更新与优化</w:t>
      </w:r>
    </w:p>
    <w:p w14:paraId="5C60EEA5">
      <w:pPr>
        <w:pStyle w:val="60"/>
        <w:ind w:firstLine="420"/>
      </w:pPr>
      <w:r>
        <w:rPr>
          <w:rFonts w:hint="eastAsia"/>
        </w:rPr>
        <w:t>应选用质量好、粘性强的黄板，并定期更换，提高诱捕害虫效果；升级杀虫灯，采用太阳能杀虫灯等先进设备，提高杀虫效率和使用寿命。</w:t>
      </w:r>
    </w:p>
    <w:p w14:paraId="0DB012A0">
      <w:pPr>
        <w:pStyle w:val="98"/>
        <w:snapToGrid w:val="0"/>
        <w:spacing w:before="120" w:after="120"/>
      </w:pPr>
      <w:r>
        <w:rPr>
          <w:rFonts w:hint="eastAsia"/>
        </w:rPr>
        <w:t>防虫网使用规范</w:t>
      </w:r>
    </w:p>
    <w:p w14:paraId="36C74012">
      <w:pPr>
        <w:pStyle w:val="60"/>
        <w:ind w:firstLine="420"/>
      </w:pPr>
      <w:r>
        <w:rPr>
          <w:rFonts w:hint="eastAsia"/>
        </w:rPr>
        <w:t>应依据害虫大小和活动习性，选择合适网目的防虫网，确保有效防止害虫进入；正确安装防虫网，保证网与地面紧密贴合，定期检查完整性，及时修复损坏部位。</w:t>
      </w:r>
    </w:p>
    <w:p w14:paraId="14F1B202">
      <w:pPr>
        <w:pStyle w:val="69"/>
        <w:snapToGrid w:val="0"/>
        <w:spacing w:before="120" w:after="120"/>
      </w:pPr>
      <w:r>
        <w:rPr>
          <w:rFonts w:hint="eastAsia"/>
        </w:rPr>
        <w:t>化学防治</w:t>
      </w:r>
    </w:p>
    <w:p w14:paraId="1746A470">
      <w:pPr>
        <w:pStyle w:val="98"/>
        <w:snapToGrid w:val="0"/>
        <w:spacing w:before="120" w:after="120"/>
      </w:pPr>
      <w:r>
        <w:rPr>
          <w:rFonts w:hint="eastAsia"/>
        </w:rPr>
        <w:t>农药选择与管理</w:t>
      </w:r>
    </w:p>
    <w:p w14:paraId="0C1F0886">
      <w:pPr>
        <w:pStyle w:val="60"/>
        <w:ind w:firstLine="420"/>
      </w:pPr>
      <w:r>
        <w:rPr>
          <w:rFonts w:hint="eastAsia"/>
        </w:rPr>
        <w:t>应优先选用生物农药，包括苏云金芽孢杆菌、白僵菌等，减少对环境的污染；严格按照 GB/T 8321、NY/T 393、T/HNBX 112 - 2021 的规定，科学合理使用农药，避免滥用。</w:t>
      </w:r>
    </w:p>
    <w:p w14:paraId="1D96BA20">
      <w:pPr>
        <w:pStyle w:val="98"/>
        <w:snapToGrid w:val="0"/>
        <w:spacing w:before="120" w:after="120"/>
      </w:pPr>
      <w:r>
        <w:rPr>
          <w:rFonts w:hint="eastAsia"/>
        </w:rPr>
        <w:t>安全间隔期遵守</w:t>
      </w:r>
    </w:p>
    <w:p w14:paraId="3A6F0F01">
      <w:pPr>
        <w:pStyle w:val="60"/>
        <w:ind w:firstLine="420"/>
      </w:pPr>
      <w:r>
        <w:rPr>
          <w:rFonts w:hint="eastAsia"/>
        </w:rPr>
        <w:t>应严格执行农药安全间隔期规定，确保采摘咖啡果实时，农药残留量符合国家食品安全标准；对农药使用情况进行详细记录和追溯，便于问题追溯和管理。</w:t>
      </w:r>
    </w:p>
    <w:p w14:paraId="519F67BD">
      <w:pPr>
        <w:pStyle w:val="109"/>
        <w:snapToGrid w:val="0"/>
        <w:spacing w:before="120" w:after="120"/>
        <w:ind w:left="0"/>
      </w:pPr>
      <w:bookmarkStart w:id="110" w:name="_Toc191227286"/>
      <w:bookmarkStart w:id="111" w:name="_Toc191227006"/>
      <w:r>
        <w:rPr>
          <w:rFonts w:hint="eastAsia"/>
        </w:rPr>
        <w:t>监测预警体系</w:t>
      </w:r>
      <w:bookmarkEnd w:id="110"/>
      <w:bookmarkEnd w:id="111"/>
    </w:p>
    <w:p w14:paraId="6B5B9759">
      <w:pPr>
        <w:pStyle w:val="69"/>
        <w:snapToGrid w:val="0"/>
        <w:spacing w:before="120" w:after="120"/>
      </w:pPr>
      <w:r>
        <w:rPr>
          <w:rFonts w:hint="eastAsia"/>
        </w:rPr>
        <w:t>建立监测点</w:t>
      </w:r>
    </w:p>
    <w:p w14:paraId="33CA1B6E">
      <w:pPr>
        <w:pStyle w:val="60"/>
        <w:ind w:firstLine="420"/>
      </w:pPr>
      <w:r>
        <w:rPr>
          <w:rFonts w:hint="eastAsia"/>
        </w:rPr>
        <w:t>在基地内不同区域合理设置多个病虫害监测点，安排专业人员定期对咖啡树进行全面巡查，及时发现病虫害发生情况并记录。</w:t>
      </w:r>
    </w:p>
    <w:p w14:paraId="6B8B2C97">
      <w:pPr>
        <w:pStyle w:val="69"/>
        <w:snapToGrid w:val="0"/>
        <w:spacing w:before="120" w:after="120"/>
      </w:pPr>
      <w:r>
        <w:rPr>
          <w:rFonts w:hint="eastAsia"/>
        </w:rPr>
        <w:t>利用先进技术</w:t>
      </w:r>
    </w:p>
    <w:p w14:paraId="553A90B2">
      <w:pPr>
        <w:pStyle w:val="60"/>
        <w:ind w:firstLine="420"/>
      </w:pPr>
      <w:r>
        <w:rPr>
          <w:rFonts w:hint="eastAsia"/>
        </w:rPr>
        <w:t>应采用无人机、遥感技术等先进手段对基地进行大面积监测，利用图像分析等技术快速准确识别病虫害迹象，提高监测的准确性和及时性。</w:t>
      </w:r>
    </w:p>
    <w:p w14:paraId="42CDCF9C">
      <w:pPr>
        <w:pStyle w:val="109"/>
        <w:snapToGrid w:val="0"/>
        <w:spacing w:before="120" w:after="120"/>
        <w:ind w:left="0"/>
      </w:pPr>
      <w:bookmarkStart w:id="112" w:name="_Toc191227287"/>
      <w:bookmarkStart w:id="113" w:name="_Toc191227007"/>
      <w:r>
        <w:rPr>
          <w:rFonts w:hint="eastAsia"/>
        </w:rPr>
        <w:t>人员培训与意识</w:t>
      </w:r>
      <w:bookmarkEnd w:id="112"/>
      <w:bookmarkEnd w:id="113"/>
    </w:p>
    <w:p w14:paraId="6CA2706E">
      <w:pPr>
        <w:pStyle w:val="69"/>
        <w:snapToGrid w:val="0"/>
        <w:spacing w:before="120" w:after="120"/>
      </w:pPr>
      <w:r>
        <w:rPr>
          <w:rFonts w:hint="eastAsia"/>
        </w:rPr>
        <w:t>定期培训</w:t>
      </w:r>
    </w:p>
    <w:p w14:paraId="2EC02738">
      <w:pPr>
        <w:pStyle w:val="60"/>
        <w:ind w:firstLine="420"/>
      </w:pPr>
      <w:r>
        <w:rPr>
          <w:rFonts w:hint="eastAsia"/>
        </w:rPr>
        <w:t>应定期组织基地工作人员参加病虫害防治培训课程，邀请专家进行理论讲解和实地操作指导，提高其防治意识和技术水平。</w:t>
      </w:r>
    </w:p>
    <w:p w14:paraId="1CAD618B">
      <w:pPr>
        <w:pStyle w:val="69"/>
        <w:snapToGrid w:val="0"/>
        <w:spacing w:before="120" w:after="120"/>
      </w:pPr>
      <w:r>
        <w:rPr>
          <w:rFonts w:hint="eastAsia"/>
        </w:rPr>
        <w:t>知识普及</w:t>
      </w:r>
    </w:p>
    <w:p w14:paraId="4283CEF0">
      <w:pPr>
        <w:pStyle w:val="60"/>
        <w:ind w:firstLine="420"/>
      </w:pPr>
      <w:r>
        <w:rPr>
          <w:rFonts w:hint="eastAsia"/>
        </w:rPr>
        <w:t>通过制作宣传海报、举办培训讲座、发放宣传手册等方式，向周边农户普及病虫害防治知识，提高整体防治水平，形成群防群治的良好氛围。</w:t>
      </w:r>
    </w:p>
    <w:p w14:paraId="55A6A4ED">
      <w:pPr>
        <w:pStyle w:val="108"/>
        <w:snapToGrid w:val="0"/>
        <w:spacing w:before="240" w:after="240"/>
        <w:ind w:left="0"/>
      </w:pPr>
      <w:bookmarkStart w:id="114" w:name="_Toc191227288"/>
      <w:bookmarkStart w:id="115" w:name="_Toc191227008"/>
      <w:r>
        <w:rPr>
          <w:rFonts w:hint="eastAsia"/>
        </w:rPr>
        <w:t>收获与采摘</w:t>
      </w:r>
      <w:bookmarkEnd w:id="114"/>
      <w:bookmarkEnd w:id="115"/>
    </w:p>
    <w:p w14:paraId="75120CD5">
      <w:pPr>
        <w:pStyle w:val="109"/>
        <w:snapToGrid w:val="0"/>
        <w:spacing w:before="120" w:after="120"/>
        <w:ind w:left="0"/>
      </w:pPr>
      <w:bookmarkStart w:id="116" w:name="_Toc191227289"/>
      <w:bookmarkStart w:id="117" w:name="_Toc191227009"/>
      <w:r>
        <w:rPr>
          <w:rFonts w:hint="eastAsia"/>
        </w:rPr>
        <w:t>一般要求</w:t>
      </w:r>
      <w:bookmarkEnd w:id="116"/>
      <w:bookmarkEnd w:id="117"/>
    </w:p>
    <w:p w14:paraId="5083476E">
      <w:pPr>
        <w:pStyle w:val="60"/>
        <w:ind w:firstLine="420"/>
      </w:pPr>
      <w:r>
        <w:rPr>
          <w:rFonts w:hint="eastAsia"/>
        </w:rPr>
        <w:t>收获与采摘应符合T/HNBX 118-2021的要求。</w:t>
      </w:r>
    </w:p>
    <w:p w14:paraId="57583122">
      <w:pPr>
        <w:pStyle w:val="109"/>
        <w:snapToGrid w:val="0"/>
        <w:spacing w:before="120" w:after="120"/>
        <w:ind w:left="0"/>
      </w:pPr>
      <w:bookmarkStart w:id="118" w:name="_Toc191227010"/>
      <w:bookmarkStart w:id="119" w:name="_Toc191227290"/>
      <w:r>
        <w:rPr>
          <w:rFonts w:hint="eastAsia"/>
        </w:rPr>
        <w:t>收获</w:t>
      </w:r>
      <w:bookmarkEnd w:id="118"/>
      <w:bookmarkEnd w:id="119"/>
    </w:p>
    <w:p w14:paraId="6D61CDF3">
      <w:pPr>
        <w:pStyle w:val="69"/>
        <w:snapToGrid w:val="0"/>
        <w:spacing w:before="120" w:after="120"/>
      </w:pPr>
      <w:r>
        <w:rPr>
          <w:rFonts w:hint="eastAsia"/>
        </w:rPr>
        <w:t>小粒种咖啡</w:t>
      </w:r>
    </w:p>
    <w:p w14:paraId="5C26D2FE">
      <w:pPr>
        <w:pStyle w:val="168"/>
      </w:pPr>
      <w:r>
        <w:rPr>
          <w:rFonts w:hint="eastAsia"/>
        </w:rPr>
        <w:t>颜色变化特征：小粒种咖啡果实成熟时，果皮颜色从绿色逐渐转变为鲜艳红色或黄色，当果实大部分呈现均匀、鲜艳的红色或黄色，表明达到最佳采摘状态，此时果实内部糖分和风味物质含量高，品质好；</w:t>
      </w:r>
    </w:p>
    <w:p w14:paraId="587953E2">
      <w:pPr>
        <w:pStyle w:val="168"/>
      </w:pPr>
      <w:r>
        <w:rPr>
          <w:rFonts w:hint="eastAsia"/>
        </w:rPr>
        <w:t>成熟度指标：除颜色变化，还可通过果实硬度和重量判断成熟度。成熟的小粒种咖啡果实质地较软，手指轻压有弹性，同时果实重量相对增加。</w:t>
      </w:r>
    </w:p>
    <w:p w14:paraId="4193D760">
      <w:pPr>
        <w:pStyle w:val="98"/>
        <w:numPr>
          <w:ilvl w:val="2"/>
          <w:numId w:val="33"/>
        </w:numPr>
        <w:snapToGrid w:val="0"/>
        <w:spacing w:before="120" w:after="120"/>
      </w:pPr>
      <w:r>
        <w:rPr>
          <w:rFonts w:hint="eastAsia"/>
        </w:rPr>
        <w:t xml:space="preserve"> 中粒种咖啡</w:t>
      </w:r>
    </w:p>
    <w:p w14:paraId="5FBA4248">
      <w:pPr>
        <w:pStyle w:val="168"/>
      </w:pPr>
      <w:r>
        <w:rPr>
          <w:rFonts w:hint="eastAsia"/>
        </w:rPr>
        <w:t>颜色特征：中粒种咖啡果实成熟时，颜色从绿色变为紫红色或深紫色，当较多果实呈现此颜色，适合成批采收；</w:t>
      </w:r>
    </w:p>
    <w:p w14:paraId="078DBE25">
      <w:pPr>
        <w:pStyle w:val="168"/>
      </w:pPr>
      <w:r>
        <w:rPr>
          <w:rFonts w:hint="eastAsia"/>
        </w:rPr>
        <w:t>成熟度细节：判断中粒种咖啡果实成熟度，应考虑果实大小和形状。成熟果实通常大小均匀，形状规则，表面光滑。果实内部结构也会变化，包括种子饱满，果肉与种子结合紧密。</w:t>
      </w:r>
    </w:p>
    <w:p w14:paraId="63C439D3">
      <w:pPr>
        <w:pStyle w:val="109"/>
        <w:snapToGrid w:val="0"/>
        <w:spacing w:before="120" w:after="120"/>
        <w:ind w:left="0"/>
      </w:pPr>
      <w:bookmarkStart w:id="120" w:name="_Toc191227291"/>
      <w:bookmarkStart w:id="121" w:name="_Toc191227011"/>
      <w:r>
        <w:rPr>
          <w:rFonts w:hint="eastAsia"/>
        </w:rPr>
        <w:t>采摘</w:t>
      </w:r>
      <w:bookmarkEnd w:id="120"/>
      <w:bookmarkEnd w:id="121"/>
    </w:p>
    <w:p w14:paraId="79EB502E">
      <w:pPr>
        <w:pStyle w:val="69"/>
        <w:snapToGrid w:val="0"/>
        <w:spacing w:before="120" w:after="120"/>
      </w:pPr>
      <w:r>
        <w:rPr>
          <w:rFonts w:hint="eastAsia"/>
        </w:rPr>
        <w:t>采摘人员培训</w:t>
      </w:r>
    </w:p>
    <w:p w14:paraId="536FF091">
      <w:pPr>
        <w:pStyle w:val="98"/>
        <w:snapToGrid w:val="0"/>
        <w:spacing w:before="120" w:after="120"/>
      </w:pPr>
      <w:r>
        <w:rPr>
          <w:rFonts w:hint="eastAsia"/>
        </w:rPr>
        <w:t>技能培训</w:t>
      </w:r>
    </w:p>
    <w:p w14:paraId="086CCE42">
      <w:pPr>
        <w:pStyle w:val="60"/>
        <w:ind w:firstLine="420"/>
      </w:pPr>
      <w:r>
        <w:rPr>
          <w:rFonts w:hint="eastAsia"/>
        </w:rPr>
        <w:t>对采摘人员进行专业培训，使其掌握正确采摘方法和技巧。培训内容包括判断果实成熟度、采摘果实、避免损伤植株和果实等。</w:t>
      </w:r>
    </w:p>
    <w:p w14:paraId="51317CD0">
      <w:pPr>
        <w:pStyle w:val="98"/>
        <w:snapToGrid w:val="0"/>
        <w:spacing w:before="120" w:after="120"/>
      </w:pPr>
      <w:r>
        <w:rPr>
          <w:rFonts w:hint="eastAsia"/>
        </w:rPr>
        <w:t>安全意识培训</w:t>
      </w:r>
    </w:p>
    <w:p w14:paraId="728E124C">
      <w:pPr>
        <w:pStyle w:val="60"/>
        <w:ind w:firstLine="420"/>
      </w:pPr>
      <w:r>
        <w:rPr>
          <w:rFonts w:hint="eastAsia"/>
        </w:rPr>
        <w:t>强调采摘过程中的安全注意事项，应佩戴适当防护装备、避免在高处采摘等，确保采摘人员人身安全。</w:t>
      </w:r>
    </w:p>
    <w:p w14:paraId="4F60EC8A">
      <w:pPr>
        <w:pStyle w:val="69"/>
        <w:snapToGrid w:val="0"/>
        <w:spacing w:before="120" w:after="120"/>
      </w:pPr>
      <w:r>
        <w:rPr>
          <w:rFonts w:hint="eastAsia"/>
        </w:rPr>
        <w:t>采摘工具选择</w:t>
      </w:r>
    </w:p>
    <w:p w14:paraId="545F3895">
      <w:pPr>
        <w:pStyle w:val="60"/>
        <w:ind w:firstLine="420"/>
      </w:pPr>
      <w:r>
        <w:rPr>
          <w:rFonts w:hint="eastAsia"/>
        </w:rPr>
        <w:t>佩戴手套保护采摘人员手部皮肤，避免被果实刺或其他尖锐物体划伤。手套应舒适、耐用，且不会对果实造成污染。</w:t>
      </w:r>
    </w:p>
    <w:p w14:paraId="640A8CC9">
      <w:pPr>
        <w:pStyle w:val="60"/>
        <w:ind w:firstLine="420"/>
      </w:pPr>
      <w:r>
        <w:rPr>
          <w:rFonts w:hint="eastAsia"/>
        </w:rPr>
        <w:t>使用合适采摘篮收集采摘的果实，采摘篮应容量足够，便于携带。篮子内部应柔软，避免损伤果实。</w:t>
      </w:r>
    </w:p>
    <w:p w14:paraId="03C7E100">
      <w:pPr>
        <w:pStyle w:val="69"/>
        <w:snapToGrid w:val="0"/>
        <w:spacing w:before="120" w:after="120"/>
      </w:pPr>
      <w:r>
        <w:rPr>
          <w:rFonts w:hint="eastAsia"/>
        </w:rPr>
        <w:t>采摘操作规范</w:t>
      </w:r>
    </w:p>
    <w:p w14:paraId="260F78A5">
      <w:pPr>
        <w:pStyle w:val="98"/>
        <w:snapToGrid w:val="0"/>
        <w:spacing w:before="120" w:after="120"/>
      </w:pPr>
      <w:r>
        <w:rPr>
          <w:rFonts w:hint="eastAsia"/>
        </w:rPr>
        <w:t>轻柔采摘</w:t>
      </w:r>
    </w:p>
    <w:p w14:paraId="3A941BE5">
      <w:pPr>
        <w:pStyle w:val="60"/>
        <w:ind w:firstLine="420"/>
      </w:pPr>
      <w:r>
        <w:rPr>
          <w:rFonts w:hint="eastAsia"/>
        </w:rPr>
        <w:t>采摘过程中，采摘人员动作应轻柔，避免用力拉扯果实，以免损伤果实和植株。成熟度好的果实，应轻轻摘下，放入采摘篮。</w:t>
      </w:r>
    </w:p>
    <w:p w14:paraId="5EFF04BE">
      <w:pPr>
        <w:pStyle w:val="98"/>
        <w:snapToGrid w:val="0"/>
        <w:spacing w:before="120" w:after="120"/>
      </w:pPr>
      <w:r>
        <w:rPr>
          <w:rFonts w:hint="eastAsia"/>
        </w:rPr>
        <w:t>分批采摘</w:t>
      </w:r>
    </w:p>
    <w:p w14:paraId="7865E415">
      <w:pPr>
        <w:pStyle w:val="60"/>
        <w:ind w:firstLine="420"/>
      </w:pPr>
      <w:r>
        <w:rPr>
          <w:rFonts w:hint="eastAsia"/>
        </w:rPr>
        <w:t>应根据咖啡树生长情况和果实成熟度，进行分批采摘。避免一次性采摘过多果实，导致果实成熟度不一致，影响品质。</w:t>
      </w:r>
    </w:p>
    <w:p w14:paraId="77EBEB84">
      <w:pPr>
        <w:pStyle w:val="98"/>
        <w:snapToGrid w:val="0"/>
        <w:spacing w:before="120" w:after="120"/>
      </w:pPr>
      <w:r>
        <w:rPr>
          <w:rFonts w:hint="eastAsia"/>
        </w:rPr>
        <w:t>保护植株</w:t>
      </w:r>
    </w:p>
    <w:p w14:paraId="30B72AC1">
      <w:pPr>
        <w:pStyle w:val="60"/>
        <w:ind w:firstLine="420"/>
      </w:pPr>
      <w:r>
        <w:rPr>
          <w:rFonts w:hint="eastAsia"/>
        </w:rPr>
        <w:t>采摘过程中应注意保护植株，避免损伤树枝、叶片和芽眼。采摘后的植株应及时修剪和养护，促进下一季生长和发育。</w:t>
      </w:r>
    </w:p>
    <w:p w14:paraId="7DEFF511">
      <w:pPr>
        <w:pStyle w:val="69"/>
        <w:snapToGrid w:val="0"/>
        <w:spacing w:before="120" w:after="120"/>
      </w:pPr>
      <w:r>
        <w:rPr>
          <w:rFonts w:hint="eastAsia"/>
        </w:rPr>
        <w:t>采摘时间控制</w:t>
      </w:r>
    </w:p>
    <w:p w14:paraId="79998DE6">
      <w:pPr>
        <w:pStyle w:val="60"/>
        <w:ind w:firstLine="420"/>
      </w:pPr>
      <w:r>
        <w:rPr>
          <w:rFonts w:hint="eastAsia"/>
        </w:rPr>
        <w:t>等到较多咖啡果实呈红色或紫色时成批采收。采摘尽量选择在天气晴朗的日子进行，避免在雨天或露水较大时采摘，以免果实受到污染或损伤。</w:t>
      </w:r>
    </w:p>
    <w:p w14:paraId="12E5B328">
      <w:pPr>
        <w:pStyle w:val="60"/>
        <w:ind w:firstLine="420"/>
      </w:pPr>
      <w:r>
        <w:rPr>
          <w:rFonts w:hint="eastAsia"/>
        </w:rPr>
        <w:t>当遇连续阴雨天，在雨停间隙、果实表面无明显水分时，可进行紧急采摘，以防果实过度浸泡变质；若有霜降等极端天气预警，应提前抢收接近成熟的果实，减少损失。</w:t>
      </w:r>
    </w:p>
    <w:bookmarkEnd w:id="67"/>
    <w:p w14:paraId="1116D017">
      <w:pPr>
        <w:pStyle w:val="69"/>
        <w:snapToGrid w:val="0"/>
        <w:spacing w:before="120" w:after="120"/>
      </w:pPr>
      <w:r>
        <w:rPr>
          <w:rFonts w:hint="eastAsia"/>
        </w:rPr>
        <w:t>采摘后的初步处理</w:t>
      </w:r>
    </w:p>
    <w:p w14:paraId="3339AB91">
      <w:pPr>
        <w:pStyle w:val="98"/>
        <w:snapToGrid w:val="0"/>
        <w:spacing w:before="120" w:after="120"/>
      </w:pPr>
      <w:r>
        <w:rPr>
          <w:rFonts w:hint="eastAsia"/>
        </w:rPr>
        <w:t>果实筛选</w:t>
      </w:r>
    </w:p>
    <w:p w14:paraId="4677AFC5">
      <w:pPr>
        <w:pStyle w:val="60"/>
        <w:ind w:firstLine="420"/>
      </w:pPr>
      <w:r>
        <w:rPr>
          <w:rFonts w:hint="eastAsia"/>
        </w:rPr>
        <w:t>采摘后尽快在基地内进行初步筛选，剔除明显破损、病虫害侵蚀、未成熟及过熟的果实，保证进入后续加工环节的果实品质相对均一。</w:t>
      </w:r>
    </w:p>
    <w:p w14:paraId="789EE717">
      <w:pPr>
        <w:pStyle w:val="98"/>
        <w:snapToGrid w:val="0"/>
        <w:spacing w:before="120" w:after="120"/>
      </w:pPr>
      <w:r>
        <w:rPr>
          <w:rFonts w:hint="eastAsia"/>
        </w:rPr>
        <w:t>临时储存</w:t>
      </w:r>
    </w:p>
    <w:p w14:paraId="031444FC">
      <w:pPr>
        <w:pStyle w:val="60"/>
        <w:ind w:firstLine="420"/>
      </w:pPr>
      <w:r>
        <w:rPr>
          <w:rFonts w:hint="eastAsia"/>
        </w:rPr>
        <w:t>筛选后的果实若不能及时进入加工流程，应进行临时储存。应放置在通风、阴凉、干燥处，避免堆积过厚导致发热变质，且存放时间不宜超过 24 小时。</w:t>
      </w:r>
    </w:p>
    <w:p w14:paraId="3BA7331E">
      <w:pPr>
        <w:pStyle w:val="108"/>
        <w:snapToGrid w:val="0"/>
        <w:spacing w:before="240" w:after="240"/>
        <w:ind w:left="0"/>
      </w:pPr>
      <w:bookmarkStart w:id="122" w:name="_Toc191227292"/>
      <w:bookmarkStart w:id="123" w:name="_Toc191227012"/>
      <w:bookmarkStart w:id="124" w:name="OLE_LINK2"/>
      <w:bookmarkStart w:id="125" w:name="OLE_LINK1"/>
      <w:r>
        <w:rPr>
          <w:rFonts w:hint="eastAsia"/>
        </w:rPr>
        <w:t>基地管理</w:t>
      </w:r>
      <w:bookmarkEnd w:id="122"/>
      <w:bookmarkEnd w:id="123"/>
    </w:p>
    <w:p w14:paraId="1860C8E4">
      <w:pPr>
        <w:pStyle w:val="109"/>
        <w:snapToGrid w:val="0"/>
        <w:spacing w:before="120" w:after="120"/>
        <w:ind w:left="0"/>
      </w:pPr>
      <w:bookmarkStart w:id="126" w:name="_Toc191227013"/>
      <w:bookmarkStart w:id="127" w:name="_Toc191227293"/>
      <w:r>
        <w:rPr>
          <w:rFonts w:hint="eastAsia"/>
        </w:rPr>
        <w:t>管理制度</w:t>
      </w:r>
      <w:bookmarkEnd w:id="126"/>
      <w:bookmarkEnd w:id="127"/>
    </w:p>
    <w:p w14:paraId="540785C7">
      <w:pPr>
        <w:pStyle w:val="69"/>
        <w:spacing w:before="120" w:after="120"/>
      </w:pPr>
      <w:r>
        <w:rPr>
          <w:rFonts w:hint="eastAsia"/>
        </w:rPr>
        <w:t>明确责任分工</w:t>
      </w:r>
    </w:p>
    <w:p w14:paraId="3FA410EA">
      <w:pPr>
        <w:pStyle w:val="60"/>
        <w:ind w:firstLine="420"/>
      </w:pPr>
      <w:r>
        <w:rPr>
          <w:rFonts w:hint="eastAsia"/>
        </w:rPr>
        <w:t>应将基地管理责任细化到每个岗位和人员，明确灌溉设施的维护责任人、生产档案的记录责任人等。不同岗位的职责应清晰界定，形成书面文件并发放给相关人员，使其清楚了解自己的工作任务。</w:t>
      </w:r>
    </w:p>
    <w:p w14:paraId="1429B0E2">
      <w:pPr>
        <w:pStyle w:val="98"/>
        <w:numPr>
          <w:ilvl w:val="2"/>
          <w:numId w:val="34"/>
        </w:numPr>
        <w:snapToGrid w:val="0"/>
        <w:spacing w:before="120" w:after="120"/>
      </w:pPr>
      <w:r>
        <w:rPr>
          <w:rFonts w:hint="eastAsia"/>
        </w:rPr>
        <w:t xml:space="preserve"> 建立考核机制</w:t>
      </w:r>
    </w:p>
    <w:p w14:paraId="1E7399B5">
      <w:pPr>
        <w:pStyle w:val="60"/>
        <w:ind w:firstLine="420"/>
      </w:pPr>
      <w:r>
        <w:rPr>
          <w:rFonts w:hint="eastAsia"/>
        </w:rPr>
        <w:t>应制定完善的考核制度，对基地管理人员的工作绩效进行定期考核，考核结果与绩效奖金、晋升等挂钩，激励管理人员积极履行职责。考核指标应涵盖工作完成的质量、效率、创新性等方面，通过定量和定性相结合的方式进行评估。</w:t>
      </w:r>
    </w:p>
    <w:p w14:paraId="53DC72CB">
      <w:pPr>
        <w:pStyle w:val="109"/>
        <w:snapToGrid w:val="0"/>
        <w:spacing w:before="120" w:after="120"/>
        <w:ind w:left="0"/>
      </w:pPr>
      <w:bookmarkStart w:id="128" w:name="_Toc191227294"/>
      <w:bookmarkStart w:id="129" w:name="_Toc191227014"/>
      <w:r>
        <w:rPr>
          <w:rFonts w:hint="eastAsia"/>
        </w:rPr>
        <w:t>人员管理</w:t>
      </w:r>
      <w:bookmarkEnd w:id="128"/>
      <w:bookmarkEnd w:id="129"/>
    </w:p>
    <w:p w14:paraId="4B2CBEDF">
      <w:pPr>
        <w:pStyle w:val="69"/>
        <w:snapToGrid w:val="0"/>
        <w:spacing w:before="120" w:after="120"/>
      </w:pPr>
      <w:r>
        <w:rPr>
          <w:rFonts w:hint="eastAsia"/>
        </w:rPr>
        <w:t>人员招聘与配置</w:t>
      </w:r>
    </w:p>
    <w:p w14:paraId="0EA344C9">
      <w:pPr>
        <w:pStyle w:val="60"/>
        <w:ind w:firstLine="420"/>
      </w:pPr>
      <w:r>
        <w:rPr>
          <w:rFonts w:hint="eastAsia"/>
        </w:rPr>
        <w:t>应制定明确的招聘标准，根据基地规模、工作量及岗位需求合理配置人员。技术人员应具备农业、园艺或相关专业背景，管理人员应具备良好的组织协调能力。</w:t>
      </w:r>
    </w:p>
    <w:p w14:paraId="28928958">
      <w:pPr>
        <w:pStyle w:val="69"/>
        <w:snapToGrid w:val="0"/>
        <w:spacing w:before="120" w:after="120"/>
      </w:pPr>
      <w:r>
        <w:rPr>
          <w:rFonts w:hint="eastAsia"/>
        </w:rPr>
        <w:t>专业知识培训</w:t>
      </w:r>
    </w:p>
    <w:p w14:paraId="18ABC2E6">
      <w:pPr>
        <w:pStyle w:val="60"/>
        <w:ind w:firstLine="420"/>
      </w:pPr>
      <w:r>
        <w:rPr>
          <w:rFonts w:hint="eastAsia"/>
        </w:rPr>
        <w:t>应建立涵盖种植技术、病虫害防治、设备操作、质量管理等多方面的培训体系，确保员工具备全面的专业知识。</w:t>
      </w:r>
    </w:p>
    <w:p w14:paraId="1060A170">
      <w:pPr>
        <w:pStyle w:val="69"/>
        <w:snapToGrid w:val="0"/>
        <w:spacing w:before="120" w:after="120"/>
      </w:pPr>
      <w:r>
        <w:rPr>
          <w:rFonts w:hint="eastAsia"/>
        </w:rPr>
        <w:t>安全意识培训</w:t>
      </w:r>
    </w:p>
    <w:p w14:paraId="661DFBC9">
      <w:pPr>
        <w:pStyle w:val="60"/>
        <w:ind w:firstLine="420"/>
      </w:pPr>
      <w:r>
        <w:rPr>
          <w:rFonts w:hint="eastAsia"/>
        </w:rPr>
        <w:t>定期开展安全意识培训，包括农药安全使用、机械设备操作安全、电气安全等内容，确保员工在工作过程中严格遵守安全规范。</w:t>
      </w:r>
    </w:p>
    <w:p w14:paraId="27512D68">
      <w:pPr>
        <w:pStyle w:val="69"/>
        <w:snapToGrid w:val="0"/>
        <w:spacing w:before="120" w:after="120"/>
      </w:pPr>
      <w:r>
        <w:rPr>
          <w:rFonts w:hint="eastAsia"/>
        </w:rPr>
        <w:t>应急处理培训</w:t>
      </w:r>
    </w:p>
    <w:p w14:paraId="7047AB05">
      <w:pPr>
        <w:pStyle w:val="60"/>
        <w:ind w:firstLine="420"/>
      </w:pPr>
      <w:r>
        <w:rPr>
          <w:rFonts w:hint="eastAsia"/>
        </w:rPr>
        <w:t>应制定详细的应急预案，涵盖自然灾害、病虫害爆发、安全事故等各类突发事件，并明确各岗位的应急职责。</w:t>
      </w:r>
    </w:p>
    <w:p w14:paraId="0878E085">
      <w:pPr>
        <w:pStyle w:val="69"/>
        <w:snapToGrid w:val="0"/>
        <w:spacing w:before="120" w:after="120"/>
      </w:pPr>
      <w:r>
        <w:rPr>
          <w:rFonts w:hint="eastAsia"/>
        </w:rPr>
        <w:t>人员激励与发展</w:t>
      </w:r>
    </w:p>
    <w:p w14:paraId="204A11FB">
      <w:pPr>
        <w:pStyle w:val="98"/>
        <w:snapToGrid w:val="0"/>
        <w:spacing w:before="120" w:after="120"/>
      </w:pPr>
      <w:r>
        <w:rPr>
          <w:rFonts w:hint="eastAsia"/>
        </w:rPr>
        <w:t>职业发展规划</w:t>
      </w:r>
    </w:p>
    <w:p w14:paraId="54A07E7C">
      <w:pPr>
        <w:pStyle w:val="60"/>
        <w:ind w:firstLine="420"/>
      </w:pPr>
      <w:r>
        <w:rPr>
          <w:rFonts w:hint="eastAsia"/>
        </w:rPr>
        <w:t>应为员工制定个性化的职业发展规划，明确晋升路径和发展方向，鼓励员工不断提升自身能力。</w:t>
      </w:r>
    </w:p>
    <w:p w14:paraId="2C212CA5">
      <w:pPr>
        <w:pStyle w:val="98"/>
        <w:snapToGrid w:val="0"/>
        <w:spacing w:before="120" w:after="120"/>
      </w:pPr>
      <w:r>
        <w:rPr>
          <w:rFonts w:hint="eastAsia"/>
        </w:rPr>
        <w:t>绩效激励机制</w:t>
      </w:r>
    </w:p>
    <w:p w14:paraId="0FBA885E">
      <w:pPr>
        <w:pStyle w:val="60"/>
        <w:ind w:firstLine="420"/>
      </w:pPr>
      <w:r>
        <w:rPr>
          <w:rFonts w:hint="eastAsia"/>
        </w:rPr>
        <w:t>应建立绩效激励机制，将员工的工作绩效与奖金、晋升、荣誉等挂钩，充分调动员工的积极性和主动性。</w:t>
      </w:r>
    </w:p>
    <w:p w14:paraId="020E2A23">
      <w:pPr>
        <w:pStyle w:val="98"/>
        <w:snapToGrid w:val="0"/>
        <w:spacing w:before="120" w:after="120"/>
      </w:pPr>
      <w:r>
        <w:rPr>
          <w:rFonts w:hint="eastAsia"/>
        </w:rPr>
        <w:t>表彰与奖励</w:t>
      </w:r>
    </w:p>
    <w:p w14:paraId="747325BA">
      <w:pPr>
        <w:pStyle w:val="60"/>
        <w:ind w:firstLine="420"/>
      </w:pPr>
      <w:r>
        <w:rPr>
          <w:rFonts w:hint="eastAsia"/>
        </w:rPr>
        <w:t>应定期开展优秀员工评选活动，对表现突出的员工进行表彰和奖励，增强员工的归属感和荣誉感。</w:t>
      </w:r>
    </w:p>
    <w:p w14:paraId="007B4670">
      <w:pPr>
        <w:pStyle w:val="69"/>
        <w:snapToGrid w:val="0"/>
        <w:spacing w:before="120" w:after="120"/>
      </w:pPr>
      <w:r>
        <w:rPr>
          <w:rFonts w:hint="eastAsia"/>
        </w:rPr>
        <w:t>人员监督与评估</w:t>
      </w:r>
    </w:p>
    <w:p w14:paraId="1449F674">
      <w:pPr>
        <w:pStyle w:val="98"/>
        <w:snapToGrid w:val="0"/>
        <w:spacing w:before="120" w:after="120"/>
      </w:pPr>
      <w:r>
        <w:rPr>
          <w:rFonts w:hint="eastAsia"/>
        </w:rPr>
        <w:t>日常监督</w:t>
      </w:r>
    </w:p>
    <w:p w14:paraId="748089B8">
      <w:pPr>
        <w:pStyle w:val="60"/>
        <w:ind w:firstLine="420"/>
      </w:pPr>
      <w:r>
        <w:rPr>
          <w:rFonts w:hint="eastAsia"/>
        </w:rPr>
        <w:t>建立日常监督机制，通过定期巡查、工作汇报等方式，及时发现和纠正员工在工作中存在的问题。</w:t>
      </w:r>
    </w:p>
    <w:p w14:paraId="02304B6D">
      <w:pPr>
        <w:pStyle w:val="98"/>
        <w:snapToGrid w:val="0"/>
        <w:spacing w:before="120" w:after="120"/>
      </w:pPr>
      <w:r>
        <w:rPr>
          <w:rFonts w:hint="eastAsia"/>
        </w:rPr>
        <w:t>定期评估</w:t>
      </w:r>
    </w:p>
    <w:p w14:paraId="11CA3BF0">
      <w:pPr>
        <w:pStyle w:val="60"/>
        <w:ind w:firstLine="420"/>
      </w:pPr>
      <w:r>
        <w:rPr>
          <w:rFonts w:hint="eastAsia"/>
        </w:rPr>
        <w:t>每半年或每年对员工的工作表现进行全面评估，评估内容包括工作态度、工作能力、工作成果等方面。应根据评估结果，为员工提供针对性的改进建议和发展支持。</w:t>
      </w:r>
    </w:p>
    <w:p w14:paraId="166A2788">
      <w:pPr>
        <w:pStyle w:val="98"/>
        <w:snapToGrid w:val="0"/>
        <w:spacing w:before="120" w:after="120"/>
      </w:pPr>
      <w:r>
        <w:rPr>
          <w:rFonts w:hint="eastAsia"/>
        </w:rPr>
        <w:t>反馈与沟通</w:t>
      </w:r>
    </w:p>
    <w:p w14:paraId="017B3F83">
      <w:pPr>
        <w:pStyle w:val="60"/>
        <w:ind w:firstLine="420"/>
      </w:pPr>
      <w:r>
        <w:rPr>
          <w:rFonts w:hint="eastAsia"/>
        </w:rPr>
        <w:t>建立良好的反馈与沟通机制，鼓励员工提出意见和建议，及时解决员工在工作中遇到的问题，营造和谐的工作氛围。</w:t>
      </w:r>
    </w:p>
    <w:p w14:paraId="7040336B">
      <w:pPr>
        <w:pStyle w:val="109"/>
        <w:snapToGrid w:val="0"/>
        <w:spacing w:before="120" w:after="120"/>
        <w:ind w:left="0"/>
      </w:pPr>
      <w:bookmarkStart w:id="130" w:name="_Toc191227295"/>
      <w:bookmarkStart w:id="131" w:name="_Toc191227015"/>
      <w:r>
        <w:rPr>
          <w:rFonts w:hint="eastAsia"/>
        </w:rPr>
        <w:t>基地环境</w:t>
      </w:r>
      <w:bookmarkEnd w:id="130"/>
      <w:bookmarkEnd w:id="131"/>
    </w:p>
    <w:p w14:paraId="6A017DDD">
      <w:pPr>
        <w:pStyle w:val="69"/>
        <w:snapToGrid w:val="0"/>
        <w:spacing w:before="120" w:after="120"/>
      </w:pPr>
      <w:r>
        <w:rPr>
          <w:rFonts w:hint="eastAsia"/>
        </w:rPr>
        <w:t>隔离设施完善</w:t>
      </w:r>
    </w:p>
    <w:p w14:paraId="5646858A">
      <w:pPr>
        <w:pStyle w:val="98"/>
        <w:snapToGrid w:val="0"/>
        <w:spacing w:before="120" w:after="120"/>
      </w:pPr>
      <w:r>
        <w:rPr>
          <w:rFonts w:hint="eastAsia"/>
        </w:rPr>
        <w:t>隔离带建设</w:t>
      </w:r>
    </w:p>
    <w:p w14:paraId="6A7DDB71">
      <w:pPr>
        <w:pStyle w:val="60"/>
        <w:ind w:firstLine="420"/>
      </w:pPr>
      <w:r>
        <w:rPr>
          <w:rFonts w:hint="eastAsia"/>
        </w:rPr>
        <w:t>应在基地周围建设完善的隔离带，隔离带可以采用植物隔离、物理隔离等多种方式相结合，提高隔离效果。植物隔离带可以选择一些具有防护作用的植物，包括荆棘、仙人掌等；物理隔离带可以采用铁丝网、围墙等。</w:t>
      </w:r>
    </w:p>
    <w:p w14:paraId="795875DC">
      <w:pPr>
        <w:pStyle w:val="98"/>
        <w:snapToGrid w:val="0"/>
        <w:spacing w:before="120" w:after="120"/>
      </w:pPr>
      <w:r>
        <w:rPr>
          <w:rFonts w:hint="eastAsia"/>
        </w:rPr>
        <w:t>边界标识明确</w:t>
      </w:r>
    </w:p>
    <w:p w14:paraId="51AE63C5">
      <w:pPr>
        <w:pStyle w:val="60"/>
        <w:ind w:firstLine="420"/>
      </w:pPr>
      <w:r>
        <w:rPr>
          <w:rFonts w:hint="eastAsia"/>
        </w:rPr>
        <w:t>应对基地的边界进行明确标识，设置明显的界碑、围栏等标志，防止外界人员和动物进入基地。边界标识应定期检查和维护，确保其清晰可见。</w:t>
      </w:r>
    </w:p>
    <w:p w14:paraId="2A36574E">
      <w:pPr>
        <w:pStyle w:val="69"/>
        <w:snapToGrid w:val="0"/>
        <w:spacing w:before="120" w:after="120"/>
      </w:pPr>
      <w:r>
        <w:rPr>
          <w:rFonts w:hint="eastAsia"/>
        </w:rPr>
        <w:t>周边环境整治</w:t>
      </w:r>
    </w:p>
    <w:p w14:paraId="01C023E8">
      <w:pPr>
        <w:pStyle w:val="98"/>
        <w:snapToGrid w:val="0"/>
        <w:spacing w:before="120" w:after="120"/>
      </w:pPr>
      <w:r>
        <w:rPr>
          <w:rFonts w:hint="eastAsia"/>
        </w:rPr>
        <w:t>污染源排查与治理</w:t>
      </w:r>
    </w:p>
    <w:p w14:paraId="432E2338">
      <w:pPr>
        <w:pStyle w:val="60"/>
        <w:ind w:firstLine="420"/>
      </w:pPr>
      <w:r>
        <w:rPr>
          <w:rFonts w:hint="eastAsia"/>
        </w:rPr>
        <w:t>应定期对基地周边环境进行排查，及时发现和治理污染源，包括清理周边的垃圾场、处理污水排放等。建立污染源排查台账，对发现的问题及时整改，跟踪整改效果。</w:t>
      </w:r>
    </w:p>
    <w:p w14:paraId="5C09EE11">
      <w:pPr>
        <w:pStyle w:val="98"/>
        <w:snapToGrid w:val="0"/>
        <w:spacing w:before="120" w:after="120"/>
      </w:pPr>
      <w:r>
        <w:rPr>
          <w:rFonts w:hint="eastAsia"/>
        </w:rPr>
        <w:t>生态修复措施</w:t>
      </w:r>
    </w:p>
    <w:p w14:paraId="03FEE10A">
      <w:pPr>
        <w:pStyle w:val="60"/>
        <w:ind w:firstLine="420"/>
      </w:pPr>
      <w:r>
        <w:rPr>
          <w:rFonts w:hint="eastAsia"/>
        </w:rPr>
        <w:t>应采取生态修复措施，恢复基地周边的生态环境，包括植树造林、种草等，提高基地的生态稳定性。制定生态修复计划，明确修复目标、措施和时间节点，确保生态修复工作的顺利进行。</w:t>
      </w:r>
    </w:p>
    <w:p w14:paraId="640BEE75">
      <w:pPr>
        <w:pStyle w:val="109"/>
        <w:snapToGrid w:val="0"/>
        <w:spacing w:before="120" w:after="120"/>
        <w:ind w:left="0"/>
      </w:pPr>
      <w:bookmarkStart w:id="132" w:name="_Toc191227016"/>
      <w:bookmarkStart w:id="133" w:name="_Toc191227296"/>
      <w:r>
        <w:rPr>
          <w:rFonts w:hint="eastAsia"/>
        </w:rPr>
        <w:t>基地标识</w:t>
      </w:r>
      <w:bookmarkEnd w:id="132"/>
      <w:bookmarkEnd w:id="133"/>
    </w:p>
    <w:p w14:paraId="38C7F6B1">
      <w:pPr>
        <w:pStyle w:val="69"/>
        <w:snapToGrid w:val="0"/>
        <w:spacing w:before="120" w:after="120"/>
      </w:pPr>
      <w:r>
        <w:rPr>
          <w:rFonts w:hint="eastAsia"/>
        </w:rPr>
        <w:t>标识内容丰富</w:t>
      </w:r>
    </w:p>
    <w:p w14:paraId="6A4FA543">
      <w:pPr>
        <w:pStyle w:val="98"/>
        <w:snapToGrid w:val="0"/>
        <w:spacing w:before="120" w:after="120"/>
      </w:pPr>
      <w:r>
        <w:rPr>
          <w:rFonts w:hint="eastAsia"/>
        </w:rPr>
        <w:t>文化内涵融入</w:t>
      </w:r>
    </w:p>
    <w:p w14:paraId="0C83E7B1">
      <w:pPr>
        <w:pStyle w:val="60"/>
        <w:ind w:firstLine="420"/>
      </w:pPr>
      <w:r>
        <w:rPr>
          <w:rFonts w:hint="eastAsia"/>
        </w:rPr>
        <w:t>应在基地标识中融入兴隆咖啡的文化内涵，包括展示咖啡的种植历史、文化传统等，增强基地的文化底蕴。可以通过图片、文字、雕塑等形式，展示兴隆咖啡的独特魅力。</w:t>
      </w:r>
    </w:p>
    <w:p w14:paraId="3B5C1771">
      <w:pPr>
        <w:pStyle w:val="98"/>
        <w:snapToGrid w:val="0"/>
        <w:spacing w:before="120" w:after="120"/>
      </w:pPr>
      <w:r>
        <w:rPr>
          <w:rFonts w:hint="eastAsia"/>
        </w:rPr>
        <w:t>产品信息展示</w:t>
      </w:r>
    </w:p>
    <w:p w14:paraId="56FC0EFC">
      <w:pPr>
        <w:pStyle w:val="60"/>
        <w:ind w:firstLine="420"/>
      </w:pPr>
      <w:r>
        <w:rPr>
          <w:rFonts w:hint="eastAsia"/>
        </w:rPr>
        <w:t>应详细展示基地的产品信息，包括咖啡的品种、产地、加工工艺等，提高消费者对基地产品的认知度和信任度。产品信息应真实、准确、全面，及时更新。</w:t>
      </w:r>
    </w:p>
    <w:p w14:paraId="1ED7B796">
      <w:pPr>
        <w:pStyle w:val="69"/>
        <w:snapToGrid w:val="0"/>
        <w:spacing w:before="120" w:after="120"/>
      </w:pPr>
      <w:r>
        <w:rPr>
          <w:rFonts w:hint="eastAsia"/>
        </w:rPr>
        <w:t>标识维护与更新</w:t>
      </w:r>
    </w:p>
    <w:p w14:paraId="54AAA765">
      <w:pPr>
        <w:pStyle w:val="98"/>
        <w:snapToGrid w:val="0"/>
        <w:spacing w:before="120" w:after="120"/>
      </w:pPr>
      <w:r>
        <w:rPr>
          <w:rFonts w:hint="eastAsia"/>
        </w:rPr>
        <w:t>检查与维护</w:t>
      </w:r>
    </w:p>
    <w:p w14:paraId="31E4A67C">
      <w:pPr>
        <w:pStyle w:val="60"/>
        <w:ind w:firstLine="420"/>
      </w:pPr>
      <w:r>
        <w:rPr>
          <w:rFonts w:hint="eastAsia"/>
        </w:rPr>
        <w:t>应定期对基地标识进行检查和维护，确保标识的完好无损。及时更换褪色、损坏的标识牌。建立标识维护台账，记录维护情况。</w:t>
      </w:r>
    </w:p>
    <w:p w14:paraId="2BD39FE4">
      <w:pPr>
        <w:pStyle w:val="98"/>
        <w:snapToGrid w:val="0"/>
        <w:spacing w:before="120" w:after="120"/>
      </w:pPr>
      <w:r>
        <w:rPr>
          <w:rFonts w:hint="eastAsia"/>
        </w:rPr>
        <w:t>信息更新</w:t>
      </w:r>
    </w:p>
    <w:p w14:paraId="70A9B42F">
      <w:pPr>
        <w:pStyle w:val="60"/>
        <w:ind w:firstLine="420"/>
      </w:pPr>
      <w:r>
        <w:rPr>
          <w:rFonts w:hint="eastAsia"/>
        </w:rPr>
        <w:t>应根据基地的发展和变化，及时更新基地标识的信息，保证信息的准确性和时效性。当基地引进新的咖啡品种或采用新的加工工艺时，应及时更新标识信息。</w:t>
      </w:r>
    </w:p>
    <w:p w14:paraId="39725E6B">
      <w:pPr>
        <w:pStyle w:val="109"/>
        <w:snapToGrid w:val="0"/>
        <w:spacing w:before="120" w:after="120"/>
        <w:ind w:left="0"/>
      </w:pPr>
      <w:bookmarkStart w:id="134" w:name="_Toc191227017"/>
      <w:bookmarkStart w:id="135" w:name="_Toc191227297"/>
      <w:r>
        <w:rPr>
          <w:rFonts w:hint="eastAsia"/>
        </w:rPr>
        <w:t>环境监测</w:t>
      </w:r>
      <w:bookmarkEnd w:id="134"/>
      <w:bookmarkEnd w:id="135"/>
    </w:p>
    <w:p w14:paraId="739D05B6">
      <w:pPr>
        <w:pStyle w:val="69"/>
        <w:snapToGrid w:val="0"/>
        <w:spacing w:before="120" w:after="120"/>
      </w:pPr>
      <w:r>
        <w:rPr>
          <w:rFonts w:hint="eastAsia"/>
        </w:rPr>
        <w:t>监测指标</w:t>
      </w:r>
    </w:p>
    <w:p w14:paraId="69F104F6">
      <w:pPr>
        <w:pStyle w:val="98"/>
        <w:snapToGrid w:val="0"/>
        <w:spacing w:before="120" w:after="120"/>
      </w:pPr>
      <w:r>
        <w:rPr>
          <w:rFonts w:hint="eastAsia"/>
        </w:rPr>
        <w:t>土壤质量监测</w:t>
      </w:r>
    </w:p>
    <w:p w14:paraId="5E58364B">
      <w:pPr>
        <w:pStyle w:val="60"/>
        <w:ind w:firstLine="420"/>
      </w:pPr>
      <w:r>
        <w:rPr>
          <w:rFonts w:hint="eastAsia"/>
        </w:rPr>
        <w:t>应增加对土壤质量的监测指标，包括土壤重金属含量、土壤肥力等，全面了解土壤环境状况。定期采集土壤样本，送专业机构进行检测分析，应根据检测结果调整种植方案。</w:t>
      </w:r>
    </w:p>
    <w:p w14:paraId="7927CEC8">
      <w:pPr>
        <w:pStyle w:val="98"/>
        <w:snapToGrid w:val="0"/>
        <w:spacing w:before="120" w:after="120"/>
      </w:pPr>
      <w:r>
        <w:rPr>
          <w:rFonts w:hint="eastAsia"/>
        </w:rPr>
        <w:t>周边生态监测</w:t>
      </w:r>
    </w:p>
    <w:p w14:paraId="0734D24F">
      <w:pPr>
        <w:pStyle w:val="60"/>
        <w:ind w:firstLine="420"/>
      </w:pPr>
      <w:r>
        <w:rPr>
          <w:rFonts w:hint="eastAsia"/>
        </w:rPr>
        <w:t>对基地周边的生态环境进行监测，包括空气质量、水体质量、生物多样性等，评估基地环境对周边生态的影响。建立生态监测点，采用科学的监测方法和设备，定期进行监测和评估。</w:t>
      </w:r>
    </w:p>
    <w:p w14:paraId="1074D9B9">
      <w:pPr>
        <w:pStyle w:val="69"/>
        <w:snapToGrid w:val="0"/>
        <w:spacing w:before="120" w:after="120"/>
      </w:pPr>
      <w:r>
        <w:rPr>
          <w:rFonts w:hint="eastAsia"/>
        </w:rPr>
        <w:t>监测频率</w:t>
      </w:r>
    </w:p>
    <w:p w14:paraId="6DD14A72">
      <w:pPr>
        <w:pStyle w:val="98"/>
        <w:snapToGrid w:val="0"/>
        <w:spacing w:before="120" w:after="120"/>
      </w:pPr>
      <w:r>
        <w:rPr>
          <w:rFonts w:hint="eastAsia"/>
        </w:rPr>
        <w:t>加密监测</w:t>
      </w:r>
    </w:p>
    <w:p w14:paraId="1121F91E">
      <w:pPr>
        <w:pStyle w:val="60"/>
        <w:ind w:firstLine="420"/>
      </w:pPr>
      <w:r>
        <w:rPr>
          <w:rFonts w:hint="eastAsia"/>
        </w:rPr>
        <w:t>应在环境条件发生重大变化或出现特殊情况时，包括自然灾害、病虫害爆发等，应加密环境质量监测的频率，及时掌握环境质量变化情况。制定特殊情况监测预案，明确监测频率和应急处理措施。</w:t>
      </w:r>
    </w:p>
    <w:p w14:paraId="5F5EB78F">
      <w:pPr>
        <w:pStyle w:val="98"/>
        <w:snapToGrid w:val="0"/>
        <w:spacing w:before="120" w:after="120"/>
      </w:pPr>
      <w:r>
        <w:rPr>
          <w:rFonts w:hint="eastAsia"/>
        </w:rPr>
        <w:t>长期监测</w:t>
      </w:r>
    </w:p>
    <w:p w14:paraId="4FB4C39D">
      <w:pPr>
        <w:pStyle w:val="60"/>
        <w:ind w:firstLine="420"/>
      </w:pPr>
      <w:r>
        <w:rPr>
          <w:rFonts w:hint="eastAsia"/>
        </w:rPr>
        <w:t>应建立长期的环境质量监测体系，定期对基地环境进行监测，掌握环境质量的长期变化趋势，为基地的可持续发展提供依据。分析监测数据，绘制环境质量变化曲线，预测未来发展趋势。</w:t>
      </w:r>
    </w:p>
    <w:p w14:paraId="64C12FA1">
      <w:pPr>
        <w:pStyle w:val="109"/>
        <w:snapToGrid w:val="0"/>
        <w:spacing w:before="120" w:after="120"/>
        <w:ind w:left="0"/>
      </w:pPr>
      <w:bookmarkStart w:id="136" w:name="_Toc191227298"/>
      <w:bookmarkStart w:id="137" w:name="_Toc191227018"/>
      <w:r>
        <w:rPr>
          <w:rFonts w:hint="eastAsia"/>
        </w:rPr>
        <w:t>建设档案</w:t>
      </w:r>
      <w:bookmarkEnd w:id="136"/>
      <w:bookmarkEnd w:id="137"/>
    </w:p>
    <w:p w14:paraId="624D2C45">
      <w:pPr>
        <w:pStyle w:val="69"/>
        <w:snapToGrid w:val="0"/>
        <w:spacing w:before="120" w:after="120"/>
      </w:pPr>
      <w:r>
        <w:rPr>
          <w:rFonts w:hint="eastAsia"/>
        </w:rPr>
        <w:t>档案管理信息化</w:t>
      </w:r>
    </w:p>
    <w:p w14:paraId="45A84BC7">
      <w:pPr>
        <w:pStyle w:val="98"/>
        <w:snapToGrid w:val="0"/>
        <w:spacing w:before="120" w:after="120"/>
      </w:pPr>
      <w:r>
        <w:rPr>
          <w:rFonts w:hint="eastAsia"/>
        </w:rPr>
        <w:t>电子档案建设</w:t>
      </w:r>
    </w:p>
    <w:p w14:paraId="646FDCAB">
      <w:pPr>
        <w:pStyle w:val="60"/>
        <w:ind w:firstLine="420"/>
      </w:pPr>
      <w:r>
        <w:rPr>
          <w:rFonts w:hint="eastAsia"/>
        </w:rPr>
        <w:t>应逐步建立电子建设档案，将基地建设过程中的各种信息进行数字化管理，提高档案管理的效率和便利性。采用专业的档案管理软件，对电子档案进行分类、存储和检索。</w:t>
      </w:r>
    </w:p>
    <w:p w14:paraId="327181FC">
      <w:pPr>
        <w:pStyle w:val="98"/>
        <w:snapToGrid w:val="0"/>
        <w:spacing w:before="120" w:after="120"/>
      </w:pPr>
      <w:r>
        <w:rPr>
          <w:rFonts w:hint="eastAsia"/>
        </w:rPr>
        <w:t>数据备份与恢复</w:t>
      </w:r>
    </w:p>
    <w:p w14:paraId="47946FAC">
      <w:pPr>
        <w:pStyle w:val="60"/>
        <w:ind w:firstLine="420"/>
      </w:pPr>
      <w:r>
        <w:rPr>
          <w:rFonts w:hint="eastAsia"/>
        </w:rPr>
        <w:t>应加强对电子档案的数据备份和恢复工作，确保档案数据的安全可靠。定期对电子档案进行备份，并存储在多个安全的地方。制定数据恢复预案，应确保在数据丢失或损坏时及时恢复。</w:t>
      </w:r>
    </w:p>
    <w:p w14:paraId="248CEC22">
      <w:pPr>
        <w:pStyle w:val="69"/>
        <w:snapToGrid w:val="0"/>
        <w:spacing w:before="120" w:after="120"/>
      </w:pPr>
      <w:r>
        <w:rPr>
          <w:rFonts w:hint="eastAsia"/>
        </w:rPr>
        <w:t>档案共享</w:t>
      </w:r>
    </w:p>
    <w:p w14:paraId="4D4B953D">
      <w:pPr>
        <w:pStyle w:val="98"/>
        <w:snapToGrid w:val="0"/>
        <w:spacing w:before="120" w:after="120"/>
      </w:pPr>
      <w:r>
        <w:rPr>
          <w:rFonts w:hint="eastAsia"/>
        </w:rPr>
        <w:t>档案查询服务</w:t>
      </w:r>
    </w:p>
    <w:p w14:paraId="67A92A89">
      <w:pPr>
        <w:pStyle w:val="60"/>
        <w:ind w:firstLine="420"/>
      </w:pPr>
      <w:r>
        <w:rPr>
          <w:rFonts w:hint="eastAsia"/>
        </w:rPr>
        <w:t>应建立档案查询服务平台，方便相关人员查询基地建设档案。提供在线查询和线下查询两种方式，确保档案信息的及时获取。设置查询权限，保证档案信息的安全。</w:t>
      </w:r>
    </w:p>
    <w:p w14:paraId="5FD1C0C1">
      <w:pPr>
        <w:pStyle w:val="98"/>
        <w:snapToGrid w:val="0"/>
        <w:spacing w:before="120" w:after="120"/>
      </w:pPr>
      <w:r>
        <w:rPr>
          <w:rFonts w:hint="eastAsia"/>
        </w:rPr>
        <w:t>档案共享机制</w:t>
      </w:r>
    </w:p>
    <w:p w14:paraId="0CDC970A">
      <w:pPr>
        <w:pStyle w:val="60"/>
        <w:ind w:firstLine="420"/>
      </w:pPr>
      <w:r>
        <w:rPr>
          <w:rFonts w:hint="eastAsia"/>
        </w:rPr>
        <w:t>应建立档案共享机制，加强与相关部门和单位的档案共享，实现资源共享和优势互补。应与农业部门、环保部门等共享档案信息，共同推进基地的建设和管理。签订档案共享协议，明确共享内容、方式和责任。</w:t>
      </w:r>
    </w:p>
    <w:bookmarkEnd w:id="124"/>
    <w:bookmarkEnd w:id="125"/>
    <w:p w14:paraId="059B15D4">
      <w:pPr>
        <w:pStyle w:val="108"/>
        <w:snapToGrid w:val="0"/>
        <w:spacing w:before="240" w:after="240"/>
        <w:ind w:left="0"/>
      </w:pPr>
      <w:bookmarkStart w:id="138" w:name="_Toc191227019"/>
      <w:bookmarkStart w:id="139" w:name="_Toc191227299"/>
      <w:r>
        <w:rPr>
          <w:rFonts w:hint="eastAsia"/>
        </w:rPr>
        <w:t>基地评价</w:t>
      </w:r>
      <w:bookmarkEnd w:id="138"/>
      <w:bookmarkEnd w:id="139"/>
    </w:p>
    <w:p w14:paraId="29A12C86">
      <w:pPr>
        <w:pStyle w:val="109"/>
        <w:snapToGrid w:val="0"/>
        <w:spacing w:before="120" w:after="120"/>
        <w:ind w:left="0"/>
      </w:pPr>
      <w:bookmarkStart w:id="140" w:name="_Toc191227300"/>
      <w:bookmarkStart w:id="141" w:name="_Toc191227020"/>
      <w:r>
        <w:rPr>
          <w:rFonts w:hint="eastAsia"/>
        </w:rPr>
        <w:t>评价方法</w:t>
      </w:r>
      <w:bookmarkEnd w:id="140"/>
      <w:bookmarkEnd w:id="141"/>
    </w:p>
    <w:p w14:paraId="2735E799">
      <w:pPr>
        <w:pStyle w:val="69"/>
        <w:snapToGrid w:val="0"/>
        <w:spacing w:before="120" w:after="120"/>
      </w:pPr>
      <w:r>
        <w:rPr>
          <w:rFonts w:hint="eastAsia"/>
        </w:rPr>
        <w:t>多维度评价结合</w:t>
      </w:r>
    </w:p>
    <w:p w14:paraId="5A02A708">
      <w:pPr>
        <w:pStyle w:val="98"/>
        <w:snapToGrid w:val="0"/>
        <w:spacing w:before="120" w:after="120"/>
      </w:pPr>
      <w:r>
        <w:rPr>
          <w:rFonts w:hint="eastAsia"/>
        </w:rPr>
        <w:t>社会影响评价</w:t>
      </w:r>
    </w:p>
    <w:p w14:paraId="32CEBE91">
      <w:pPr>
        <w:pStyle w:val="60"/>
        <w:ind w:firstLine="420"/>
      </w:pPr>
      <w:r>
        <w:rPr>
          <w:rFonts w:hint="eastAsia"/>
        </w:rPr>
        <w:t>应全面分析基地建设和运营对当地社会的影响，包括对农民收入增加、就业机会创造、农村经济发展的促进作用，以及对当地文化传承与发展、社区凝聚力提升等方面的影响。分析基地带动周边农户参与咖啡种植、加工和销售的程度，评估对当地劳动力就业结构的优化作用。</w:t>
      </w:r>
    </w:p>
    <w:p w14:paraId="4071804A">
      <w:pPr>
        <w:pStyle w:val="98"/>
        <w:snapToGrid w:val="0"/>
        <w:spacing w:before="120" w:after="120"/>
      </w:pPr>
      <w:r>
        <w:rPr>
          <w:rFonts w:hint="eastAsia"/>
        </w:rPr>
        <w:t>可持续发展评价</w:t>
      </w:r>
    </w:p>
    <w:p w14:paraId="5D5378E3">
      <w:pPr>
        <w:pStyle w:val="60"/>
        <w:ind w:firstLine="420"/>
      </w:pPr>
      <w:r>
        <w:rPr>
          <w:rFonts w:hint="eastAsia"/>
        </w:rPr>
        <w:t>应深入评估基地在资源利用、环境保护、生态平衡等方面的可持续性。研究土地资源的长期利用规划，分析水资源的节约与循环利用措施，评估农业生态系统的稳定性以及对生物多样性的保护效果。</w:t>
      </w:r>
    </w:p>
    <w:p w14:paraId="66518CC8">
      <w:pPr>
        <w:pStyle w:val="69"/>
        <w:snapToGrid w:val="0"/>
        <w:spacing w:before="120" w:after="120"/>
      </w:pPr>
      <w:r>
        <w:rPr>
          <w:rFonts w:hint="eastAsia"/>
        </w:rPr>
        <w:t>动态评价机制</w:t>
      </w:r>
    </w:p>
    <w:p w14:paraId="6192B935">
      <w:pPr>
        <w:pStyle w:val="98"/>
        <w:snapToGrid w:val="0"/>
        <w:spacing w:before="120" w:after="120"/>
      </w:pPr>
      <w:r>
        <w:rPr>
          <w:rFonts w:hint="eastAsia"/>
        </w:rPr>
        <w:t>定期评价制度</w:t>
      </w:r>
    </w:p>
    <w:p w14:paraId="54D81D50">
      <w:pPr>
        <w:pStyle w:val="60"/>
        <w:ind w:firstLine="420"/>
      </w:pPr>
      <w:r>
        <w:rPr>
          <w:rFonts w:hint="eastAsia"/>
        </w:rPr>
        <w:t>应建立定期评价机制，每隔 1 - 2 年对基地进行全面评价。制定详细的评价计划，明确评价流程、参与人员和时间节点，及时发现问题并提出整改措施。</w:t>
      </w:r>
    </w:p>
    <w:p w14:paraId="01E977F5">
      <w:pPr>
        <w:pStyle w:val="98"/>
        <w:snapToGrid w:val="0"/>
        <w:spacing w:before="120" w:after="120"/>
      </w:pPr>
      <w:r>
        <w:rPr>
          <w:rFonts w:hint="eastAsia"/>
        </w:rPr>
        <w:t>跟踪评价措施</w:t>
      </w:r>
    </w:p>
    <w:p w14:paraId="74ABA913">
      <w:pPr>
        <w:pStyle w:val="60"/>
        <w:ind w:firstLine="420"/>
      </w:pPr>
      <w:r>
        <w:rPr>
          <w:rFonts w:hint="eastAsia"/>
        </w:rPr>
        <w:t>应对重点项目或关键环节，包括新型种植技术应用、大型设施设备建设等，进行全程跟踪评价。定期收集数据，分析进展情况和效果，为决策提供及时、准确的依据。</w:t>
      </w:r>
    </w:p>
    <w:p w14:paraId="78822B26">
      <w:pPr>
        <w:pStyle w:val="109"/>
        <w:snapToGrid w:val="0"/>
        <w:spacing w:before="120" w:after="120"/>
        <w:ind w:left="0"/>
      </w:pPr>
      <w:bookmarkStart w:id="142" w:name="_Toc191227301"/>
      <w:bookmarkStart w:id="143" w:name="_Toc191227021"/>
      <w:r>
        <w:rPr>
          <w:rFonts w:hint="eastAsia"/>
        </w:rPr>
        <w:t>评价内容</w:t>
      </w:r>
      <w:bookmarkEnd w:id="142"/>
      <w:bookmarkEnd w:id="143"/>
    </w:p>
    <w:p w14:paraId="34BE3B47">
      <w:pPr>
        <w:pStyle w:val="69"/>
        <w:snapToGrid w:val="0"/>
        <w:spacing w:before="120" w:after="120"/>
      </w:pPr>
      <w:r>
        <w:rPr>
          <w:rFonts w:hint="eastAsia"/>
        </w:rPr>
        <w:t>规划布局优化</w:t>
      </w:r>
    </w:p>
    <w:p w14:paraId="00F4F0FB">
      <w:pPr>
        <w:pStyle w:val="98"/>
        <w:snapToGrid w:val="0"/>
        <w:spacing w:before="120" w:after="120"/>
      </w:pPr>
      <w:r>
        <w:rPr>
          <w:rFonts w:hint="eastAsia"/>
        </w:rPr>
        <w:t>区域协调性</w:t>
      </w:r>
    </w:p>
    <w:p w14:paraId="4FCD8D06">
      <w:pPr>
        <w:pStyle w:val="60"/>
        <w:ind w:firstLine="420"/>
      </w:pPr>
      <w:r>
        <w:rPr>
          <w:rFonts w:hint="eastAsia"/>
        </w:rPr>
        <w:t>评估基地规划与当地城乡规划、土地利用规划、农业产业规划等的协调性，确保基地建设与区域发展战略相契合。分析基地在区域产业布局中的定位，以及对周边基础设施利用和共享的可行性。</w:t>
      </w:r>
    </w:p>
    <w:p w14:paraId="1BA7EFBB">
      <w:pPr>
        <w:pStyle w:val="98"/>
        <w:snapToGrid w:val="0"/>
        <w:spacing w:before="120" w:after="120"/>
      </w:pPr>
      <w:r>
        <w:rPr>
          <w:rFonts w:hint="eastAsia"/>
        </w:rPr>
        <w:t>布局合理性</w:t>
      </w:r>
    </w:p>
    <w:p w14:paraId="14A4A1FE">
      <w:pPr>
        <w:pStyle w:val="60"/>
        <w:ind w:firstLine="420"/>
      </w:pPr>
      <w:r>
        <w:rPr>
          <w:rFonts w:hint="eastAsia"/>
        </w:rPr>
        <w:t>应进一步细化功能分区，包括将种植区根据不同品种、种植阶段进行细分，同时设置专门的育苗区、实验区等，提高种植管理的精准性。优化基地内部的交通组织，确保道路布局合理，便于物资运输和人员通行。合理规划运输路线，减少运输距离和能源消耗，提高运输效率。</w:t>
      </w:r>
    </w:p>
    <w:p w14:paraId="0AE74493">
      <w:pPr>
        <w:pStyle w:val="69"/>
        <w:snapToGrid w:val="0"/>
        <w:spacing w:before="120" w:after="120"/>
      </w:pPr>
      <w:r>
        <w:rPr>
          <w:rFonts w:hint="eastAsia"/>
        </w:rPr>
        <w:t>设施设备完善</w:t>
      </w:r>
    </w:p>
    <w:p w14:paraId="653E70D3">
      <w:pPr>
        <w:pStyle w:val="98"/>
        <w:snapToGrid w:val="0"/>
        <w:spacing w:before="120" w:after="120"/>
      </w:pPr>
      <w:r>
        <w:rPr>
          <w:rFonts w:hint="eastAsia"/>
        </w:rPr>
        <w:t>智能化设备应用</w:t>
      </w:r>
    </w:p>
    <w:p w14:paraId="277B3C0D">
      <w:pPr>
        <w:pStyle w:val="60"/>
        <w:ind w:firstLine="420"/>
      </w:pPr>
      <w:r>
        <w:rPr>
          <w:rFonts w:hint="eastAsia"/>
        </w:rPr>
        <w:t>智能化设备应用如下：</w:t>
      </w:r>
    </w:p>
    <w:p w14:paraId="3DBB79B1">
      <w:pPr>
        <w:pStyle w:val="178"/>
        <w:numPr>
          <w:ilvl w:val="0"/>
          <w:numId w:val="35"/>
        </w:numPr>
        <w:snapToGrid w:val="0"/>
        <w:ind w:left="850" w:hanging="425"/>
      </w:pPr>
      <w:r>
        <w:rPr>
          <w:rFonts w:hint="eastAsia"/>
        </w:rPr>
        <w:t>物联网技术引入：引入物联网技术，对基地的设施设备进行实时监测和控制。通过传感器收集土壤湿度、温度、肥力、气象等数据，自动调节灌溉、施肥、通风等设备，实现智能化管理；</w:t>
      </w:r>
    </w:p>
    <w:p w14:paraId="5C385344">
      <w:pPr>
        <w:pStyle w:val="178"/>
        <w:snapToGrid w:val="0"/>
        <w:ind w:left="850" w:hanging="425"/>
      </w:pPr>
      <w:r>
        <w:rPr>
          <w:rFonts w:hint="eastAsia"/>
        </w:rPr>
        <w:t>大数据分析利用：利用大数据分析技术，对设施设备的运行数据进行分析。预测设备故障和维护需求，提前进行维护和保养，提高设备的可靠性和使用寿命。同时，通过数据分析优化设备运行参数，提高生产效率。</w:t>
      </w:r>
    </w:p>
    <w:p w14:paraId="77DF3AFB">
      <w:pPr>
        <w:pStyle w:val="60"/>
        <w:ind w:firstLine="420"/>
      </w:pPr>
      <w:r>
        <w:rPr>
          <w:rFonts w:hint="eastAsia"/>
        </w:rPr>
        <w:t>设备更新与升级</w:t>
      </w:r>
      <w:r>
        <w:br w:type="textWrapping"/>
      </w:r>
      <w:r>
        <w:rPr>
          <w:rFonts w:hint="eastAsia"/>
        </w:rPr>
        <w:t xml:space="preserve"> </w:t>
      </w:r>
      <w:r>
        <w:t xml:space="preserve">    </w:t>
      </w:r>
      <w:r>
        <w:rPr>
          <w:rFonts w:hint="eastAsia"/>
        </w:rPr>
        <w:t>设备更新与升级如下：</w:t>
      </w:r>
    </w:p>
    <w:p w14:paraId="49E6A2DF">
      <w:pPr>
        <w:pStyle w:val="178"/>
        <w:numPr>
          <w:ilvl w:val="0"/>
          <w:numId w:val="36"/>
        </w:numPr>
        <w:snapToGrid w:val="0"/>
        <w:ind w:left="850" w:hanging="425"/>
      </w:pPr>
      <w:r>
        <w:rPr>
          <w:rFonts w:hint="eastAsia"/>
        </w:rPr>
        <w:t>老旧设备改造：对老化、落后的设施设备进行改造和升级，提高设备的性能和效率。包括对灌溉设备进行节能改造，采用滴灌、微喷灌等节水技术，降低水资源消耗；</w:t>
      </w:r>
    </w:p>
    <w:p w14:paraId="3003303C">
      <w:pPr>
        <w:pStyle w:val="178"/>
        <w:snapToGrid w:val="0"/>
        <w:ind w:left="850" w:hanging="425"/>
      </w:pPr>
      <w:r>
        <w:rPr>
          <w:rFonts w:hint="eastAsia"/>
        </w:rPr>
        <w:t>新型设备引进：应根据基地发展的需要，引进先进的设施设备，包括高效的加工设备、精准的施肥设备、智能化的采摘设备等，提高生产效率和产品质量。</w:t>
      </w:r>
    </w:p>
    <w:p w14:paraId="055E44DE">
      <w:pPr>
        <w:pStyle w:val="69"/>
        <w:snapToGrid w:val="0"/>
        <w:spacing w:before="120" w:after="120"/>
      </w:pPr>
      <w:r>
        <w:rPr>
          <w:rFonts w:hint="eastAsia"/>
        </w:rPr>
        <w:t>种植管理</w:t>
      </w:r>
    </w:p>
    <w:p w14:paraId="0C84AEAD">
      <w:pPr>
        <w:pStyle w:val="98"/>
        <w:snapToGrid w:val="0"/>
        <w:spacing w:before="120" w:after="120"/>
      </w:pPr>
      <w:r>
        <w:rPr>
          <w:rFonts w:hint="eastAsia"/>
        </w:rPr>
        <w:t>种植技术创新</w:t>
      </w:r>
    </w:p>
    <w:p w14:paraId="592DD4E6">
      <w:pPr>
        <w:pStyle w:val="60"/>
        <w:ind w:firstLine="420"/>
      </w:pPr>
      <w:r>
        <w:rPr>
          <w:rFonts w:hint="eastAsia"/>
        </w:rPr>
        <w:t>植物生长调节剂合理使用：研究和合理使用植物生长调节剂，调节咖啡树的生长发育，提高咖啡的产量和品质。严格控制植物生长调节剂的使用剂量和时间，确保食品安全。</w:t>
      </w:r>
    </w:p>
    <w:p w14:paraId="4E4D6248">
      <w:pPr>
        <w:pStyle w:val="98"/>
        <w:snapToGrid w:val="0"/>
        <w:spacing w:before="120" w:after="120"/>
      </w:pPr>
      <w:r>
        <w:rPr>
          <w:rFonts w:hint="eastAsia"/>
        </w:rPr>
        <w:t>质量管理</w:t>
      </w:r>
    </w:p>
    <w:p w14:paraId="09C03F1F">
      <w:pPr>
        <w:pStyle w:val="60"/>
        <w:ind w:firstLine="420"/>
      </w:pPr>
      <w:r>
        <w:rPr>
          <w:rFonts w:hint="eastAsia"/>
        </w:rPr>
        <w:t>质量管理如下：</w:t>
      </w:r>
    </w:p>
    <w:p w14:paraId="2F424F5F">
      <w:pPr>
        <w:pStyle w:val="178"/>
        <w:numPr>
          <w:ilvl w:val="0"/>
          <w:numId w:val="37"/>
        </w:numPr>
        <w:snapToGrid w:val="0"/>
      </w:pPr>
      <w:r>
        <w:rPr>
          <w:rFonts w:hint="eastAsia"/>
        </w:rPr>
        <w:t>质量追溯体系完善：进一步完善质量追溯体系，实现从种子采购、种植过程、加工环节到产品销售的全过程追溯。利用信息化技术，包括二维码、区块链等，记录和存储相关信息，确保产品质量安全可查。</w:t>
      </w:r>
    </w:p>
    <w:p w14:paraId="1DEBB173">
      <w:pPr>
        <w:pStyle w:val="178"/>
        <w:snapToGrid w:val="0"/>
      </w:pPr>
      <w:r>
        <w:rPr>
          <w:rFonts w:hint="eastAsia"/>
        </w:rPr>
        <w:t>品质检测标准提高：提高品质检测标准，加强对咖啡品质的检测和评估。应采用先进的检测设备和技术，对咖啡的外观、香气、口感、化学成分等进行全面检测，确保咖啡符合国内外高品质标准的要求。</w:t>
      </w:r>
    </w:p>
    <w:p w14:paraId="76035C9E">
      <w:pPr>
        <w:pStyle w:val="69"/>
        <w:snapToGrid w:val="0"/>
        <w:spacing w:before="120" w:after="120"/>
      </w:pPr>
      <w:r>
        <w:rPr>
          <w:rFonts w:hint="eastAsia"/>
        </w:rPr>
        <w:t>病虫害防治</w:t>
      </w:r>
    </w:p>
    <w:p w14:paraId="7A05236A">
      <w:pPr>
        <w:pStyle w:val="98"/>
        <w:snapToGrid w:val="0"/>
        <w:spacing w:before="120" w:after="120"/>
      </w:pPr>
      <w:r>
        <w:rPr>
          <w:rFonts w:hint="eastAsia"/>
        </w:rPr>
        <w:t>绿色防控技术推广</w:t>
      </w:r>
    </w:p>
    <w:p w14:paraId="322C89D4">
      <w:pPr>
        <w:pStyle w:val="171"/>
        <w:rPr>
          <w:rFonts w:hint="eastAsia"/>
        </w:rPr>
      </w:pPr>
      <w:r>
        <w:rPr>
          <w:rFonts w:hint="eastAsia"/>
        </w:rPr>
        <w:t>性诱剂使用：增加性诱剂的使用量，应根据不同害虫的习性，选择合适的性诱剂产品和诱捕装置，诱捕害虫，减少害虫的种群数量；</w:t>
      </w:r>
    </w:p>
    <w:p w14:paraId="71B04847">
      <w:pPr>
        <w:pStyle w:val="171"/>
        <w:rPr>
          <w:rFonts w:hint="eastAsia"/>
        </w:rPr>
      </w:pPr>
      <w:r>
        <w:rPr>
          <w:rFonts w:hint="eastAsia"/>
        </w:rPr>
        <w:t>生物防治措施优化：进一步优化生物防治措施，包括增加天敌昆虫的释放数量、改进生物防治的方法和技术等。研究不同天敌昆虫的协同作用，提高生物防治的效果。</w:t>
      </w:r>
    </w:p>
    <w:p w14:paraId="12D1C9D3">
      <w:pPr>
        <w:pStyle w:val="98"/>
        <w:snapToGrid w:val="0"/>
        <w:spacing w:before="120" w:after="120"/>
      </w:pPr>
      <w:r>
        <w:rPr>
          <w:rFonts w:hint="eastAsia"/>
        </w:rPr>
        <w:t>农药使用管理严格</w:t>
      </w:r>
    </w:p>
    <w:p w14:paraId="15386B36">
      <w:pPr>
        <w:pStyle w:val="171"/>
        <w:rPr>
          <w:rFonts w:hint="eastAsia"/>
        </w:rPr>
      </w:pPr>
      <w:r>
        <w:rPr>
          <w:rFonts w:hint="eastAsia"/>
        </w:rPr>
        <w:t>农药减量使用：通过优化种植管理措施、推广绿色防控技术等方式，减少农药的使用量。采用物理防治、生物防治、农业防治等综合措施，降低病虫害的发生程度，减少对化学农药的依赖；</w:t>
      </w:r>
    </w:p>
    <w:p w14:paraId="3075BC01">
      <w:pPr>
        <w:pStyle w:val="171"/>
        <w:rPr>
          <w:rFonts w:hint="eastAsia"/>
        </w:rPr>
      </w:pPr>
      <w:r>
        <w:rPr>
          <w:rFonts w:hint="eastAsia"/>
        </w:rPr>
        <w:t>农药残留检测加强：应加强对农药残留的检测，建立完善的农药残留检测制度。定期对咖啡果实、土壤、水源等进行检测，严格控制农药残留量在安全范围内，确保咖啡产品的质量安全。</w:t>
      </w:r>
    </w:p>
    <w:p w14:paraId="2FBA2D7C">
      <w:pPr>
        <w:pStyle w:val="69"/>
        <w:snapToGrid w:val="0"/>
        <w:spacing w:before="120" w:after="120"/>
      </w:pPr>
      <w:r>
        <w:rPr>
          <w:rFonts w:hint="eastAsia"/>
        </w:rPr>
        <w:t>收获与采摘</w:t>
      </w:r>
    </w:p>
    <w:p w14:paraId="146FAD97">
      <w:pPr>
        <w:pStyle w:val="98"/>
        <w:snapToGrid w:val="0"/>
        <w:spacing w:before="120" w:after="120"/>
      </w:pPr>
      <w:r>
        <w:rPr>
          <w:rFonts w:hint="eastAsia"/>
        </w:rPr>
        <w:t>收获自动化</w:t>
      </w:r>
    </w:p>
    <w:p w14:paraId="1B632E88">
      <w:pPr>
        <w:pStyle w:val="171"/>
        <w:rPr>
          <w:rFonts w:hint="eastAsia"/>
        </w:rPr>
      </w:pPr>
      <w:r>
        <w:rPr>
          <w:rFonts w:hint="eastAsia"/>
        </w:rPr>
        <w:t>采摘机器人应用：研究和应用采摘机器人，实现采摘作业的自动化。应根据兴隆咖啡的种植特点和果实特性，研发适合的采摘机器人，提高采摘效率和质量；</w:t>
      </w:r>
    </w:p>
    <w:p w14:paraId="46FCE57B">
      <w:pPr>
        <w:pStyle w:val="171"/>
        <w:rPr>
          <w:rFonts w:hint="eastAsia"/>
        </w:rPr>
      </w:pPr>
      <w:r>
        <w:rPr>
          <w:rFonts w:hint="eastAsia"/>
        </w:rPr>
        <w:t>收获设备改进：对现有的收获设备进行改进，提高设备的适应性和效率。包括优化采摘工具的设计，使其更符合人体工程学原理，减少人工劳动强度。</w:t>
      </w:r>
    </w:p>
    <w:p w14:paraId="6EFC83DC">
      <w:pPr>
        <w:pStyle w:val="98"/>
        <w:snapToGrid w:val="0"/>
        <w:spacing w:before="120" w:after="120"/>
        <w:rPr>
          <w:rFonts w:hint="eastAsia" w:hAnsi="黑体" w:cs="黑体"/>
        </w:rPr>
      </w:pPr>
      <w:r>
        <w:rPr>
          <w:rFonts w:hint="eastAsia" w:hAnsi="黑体" w:cs="黑体"/>
        </w:rPr>
        <w:t>采摘原则和要求</w:t>
      </w:r>
    </w:p>
    <w:p w14:paraId="685B8981">
      <w:pPr>
        <w:pStyle w:val="60"/>
        <w:snapToGrid w:val="0"/>
        <w:ind w:firstLine="420"/>
      </w:pPr>
      <w:r>
        <w:rPr>
          <w:rFonts w:hint="eastAsia"/>
        </w:rPr>
        <w:t>采摘原则和要求如下：</w:t>
      </w:r>
    </w:p>
    <w:p w14:paraId="1AB6FA00">
      <w:pPr>
        <w:pStyle w:val="178"/>
        <w:numPr>
          <w:ilvl w:val="0"/>
          <w:numId w:val="38"/>
        </w:numPr>
        <w:snapToGrid w:val="0"/>
      </w:pPr>
      <w:r>
        <w:rPr>
          <w:rFonts w:hint="eastAsia"/>
        </w:rPr>
        <w:t>采摘时机的判断：应根据果实成熟度、天气条件及市场需求，选择最佳采摘时间；</w:t>
      </w:r>
    </w:p>
    <w:p w14:paraId="78A18732">
      <w:pPr>
        <w:pStyle w:val="178"/>
        <w:snapToGrid w:val="0"/>
      </w:pPr>
      <w:r>
        <w:rPr>
          <w:rFonts w:hint="eastAsia"/>
        </w:rPr>
        <w:t>采摘方法：熟练使用手工采摘技术，防止损伤咖啡树及未成熟果实，确保采摘果实的完整性；</w:t>
      </w:r>
    </w:p>
    <w:p w14:paraId="67CC8804">
      <w:pPr>
        <w:pStyle w:val="178"/>
        <w:snapToGrid w:val="0"/>
      </w:pPr>
      <w:r>
        <w:rPr>
          <w:rFonts w:hint="eastAsia"/>
        </w:rPr>
        <w:t>分级采摘：应根据果实成熟度进行分级采摘，确保同一批次果实的成熟度一致；</w:t>
      </w:r>
    </w:p>
    <w:p w14:paraId="2C8AEF39">
      <w:pPr>
        <w:pStyle w:val="178"/>
        <w:snapToGrid w:val="0"/>
      </w:pPr>
      <w:r>
        <w:rPr>
          <w:rFonts w:hint="eastAsia"/>
        </w:rPr>
        <w:t>采摘工具的使用与维护：了解并正确使用采摘工具（包括采摘篮、枝剪等），定期清洁和维护工具，确保其卫生和安全；</w:t>
      </w:r>
    </w:p>
    <w:p w14:paraId="69083B84">
      <w:pPr>
        <w:pStyle w:val="178"/>
        <w:snapToGrid w:val="0"/>
      </w:pPr>
      <w:r>
        <w:rPr>
          <w:rFonts w:hint="eastAsia"/>
        </w:rPr>
        <w:t>采摘效率与质量控制：在保证采摘质量的前提下，提高采摘效率，减少果实破损率和杂质混入率。</w:t>
      </w:r>
    </w:p>
    <w:p w14:paraId="7BE020AC">
      <w:pPr>
        <w:pStyle w:val="69"/>
        <w:snapToGrid w:val="0"/>
        <w:spacing w:before="120" w:after="120"/>
      </w:pPr>
      <w:r>
        <w:rPr>
          <w:rFonts w:hint="eastAsia"/>
        </w:rPr>
        <w:t>经济效益提升</w:t>
      </w:r>
    </w:p>
    <w:p w14:paraId="60527200">
      <w:pPr>
        <w:pStyle w:val="98"/>
        <w:snapToGrid w:val="0"/>
        <w:spacing w:before="120" w:after="120"/>
      </w:pPr>
      <w:r>
        <w:rPr>
          <w:rFonts w:hint="eastAsia"/>
        </w:rPr>
        <w:t>产业融合发展</w:t>
      </w:r>
    </w:p>
    <w:p w14:paraId="55EC4C3B">
      <w:pPr>
        <w:pStyle w:val="171"/>
        <w:rPr>
          <w:rFonts w:hint="eastAsia"/>
        </w:rPr>
      </w:pPr>
      <w:r>
        <w:rPr>
          <w:rFonts w:hint="eastAsia"/>
        </w:rPr>
        <w:t>与旅游产业融合：推动咖啡种植基地与旅游产业融合发展，开发咖啡文化旅游项目，包括咖啡采摘体验、咖啡加工参观、咖啡文化博物馆等。通过旅游产业的带动，增加农民收入，提高基地的经济效益。</w:t>
      </w:r>
    </w:p>
    <w:p w14:paraId="6535524A">
      <w:pPr>
        <w:pStyle w:val="171"/>
        <w:rPr>
          <w:rFonts w:hint="eastAsia"/>
        </w:rPr>
      </w:pPr>
      <w:r>
        <w:rPr>
          <w:rFonts w:hint="eastAsia"/>
        </w:rPr>
        <w:t>品牌建设与营销：应加强品牌建设和营销推广，提高兴隆咖啡的品牌知名度和市场占有率。制定品牌发展战略，打造具有特色的品牌形象，通过线上线下相结合的方式，拓展销售渠道，增加产品附加值。</w:t>
      </w:r>
    </w:p>
    <w:p w14:paraId="49A2DF70">
      <w:pPr>
        <w:pStyle w:val="98"/>
        <w:snapToGrid w:val="0"/>
        <w:spacing w:before="120" w:after="120"/>
      </w:pPr>
      <w:r>
        <w:rPr>
          <w:rFonts w:hint="eastAsia"/>
        </w:rPr>
        <w:t>成本控制与管理</w:t>
      </w:r>
    </w:p>
    <w:p w14:paraId="08629D83">
      <w:pPr>
        <w:pStyle w:val="171"/>
        <w:rPr>
          <w:rFonts w:hint="eastAsia"/>
        </w:rPr>
      </w:pPr>
      <w:r>
        <w:rPr>
          <w:rFonts w:hint="eastAsia"/>
        </w:rPr>
        <w:t>生产成本降低：通过优化种植管理措施、提高生产效率、降低物资消耗等方式，降低生产成本。包括合理规划种植密度，提高土地利用率；采用精准施肥技术，减少肥料浪费。</w:t>
      </w:r>
    </w:p>
    <w:p w14:paraId="4A416B8D">
      <w:pPr>
        <w:pStyle w:val="171"/>
        <w:rPr>
          <w:rFonts w:hint="eastAsia"/>
        </w:rPr>
      </w:pPr>
      <w:r>
        <w:rPr>
          <w:rFonts w:hint="eastAsia"/>
        </w:rPr>
        <w:t>风险管理加强：应加强对市场风险、自然风险等的管理，制定相应的应急预案。建立市场监测机制，及时掌握市场动态，调整生产和销售策略；应加强对自然灾害的预警和防范，降低风险损失。</w:t>
      </w:r>
    </w:p>
    <w:p w14:paraId="4AC7EC92">
      <w:pPr>
        <w:pStyle w:val="69"/>
        <w:snapToGrid w:val="0"/>
        <w:spacing w:before="120" w:after="120"/>
      </w:pPr>
      <w:r>
        <w:rPr>
          <w:rFonts w:hint="eastAsia"/>
        </w:rPr>
        <w:t>生态效益</w:t>
      </w:r>
    </w:p>
    <w:p w14:paraId="72CB698A">
      <w:pPr>
        <w:pStyle w:val="98"/>
        <w:snapToGrid w:val="0"/>
        <w:spacing w:before="120" w:after="120"/>
      </w:pPr>
      <w:r>
        <w:rPr>
          <w:rFonts w:hint="eastAsia"/>
        </w:rPr>
        <w:t>生态系统修复与保护</w:t>
      </w:r>
    </w:p>
    <w:p w14:paraId="009CBE6F">
      <w:pPr>
        <w:pStyle w:val="171"/>
        <w:rPr>
          <w:rFonts w:hint="eastAsia"/>
        </w:rPr>
      </w:pPr>
      <w:r>
        <w:rPr>
          <w:rFonts w:hint="eastAsia"/>
        </w:rPr>
        <w:t>植被恢复与保护：应加强对基地周边植被的恢复和保护，增加植被覆盖率。通过植树造林、种草等措施，改善生态环境，减少水土流失，提高生态系统的稳定性；</w:t>
      </w:r>
    </w:p>
    <w:p w14:paraId="18426000">
      <w:pPr>
        <w:pStyle w:val="171"/>
        <w:rPr>
          <w:rFonts w:hint="eastAsia"/>
        </w:rPr>
      </w:pPr>
      <w:r>
        <w:rPr>
          <w:rFonts w:hint="eastAsia"/>
        </w:rPr>
        <w:t>野生动物保护：采取措施保护基地内的野生动物，包括设置野生动物栖息地、禁止非法捕猎等。维护生态平衡，促进生物多样性的发展，为咖啡种植创造良好的生态环境。</w:t>
      </w:r>
    </w:p>
    <w:p w14:paraId="456991E7">
      <w:pPr>
        <w:pStyle w:val="98"/>
        <w:snapToGrid w:val="0"/>
        <w:spacing w:before="120" w:after="120"/>
      </w:pPr>
      <w:r>
        <w:rPr>
          <w:rFonts w:hint="eastAsia"/>
        </w:rPr>
        <w:t>资源节约与循环利用</w:t>
      </w:r>
    </w:p>
    <w:p w14:paraId="7E0F2F35">
      <w:pPr>
        <w:pStyle w:val="171"/>
        <w:rPr>
          <w:rFonts w:hint="eastAsia"/>
        </w:rPr>
      </w:pPr>
      <w:r>
        <w:rPr>
          <w:rFonts w:hint="eastAsia"/>
        </w:rPr>
        <w:t>水资源节约利用：应加强水资源的节约利用，推广节水灌溉技术，包括滴灌、微喷灌等。优化灌溉制度，应根据咖啡树的生长需求和土壤墒情，合理安排灌溉时间和水量，提高水资源利用效率；</w:t>
      </w:r>
    </w:p>
    <w:p w14:paraId="2792F626">
      <w:pPr>
        <w:pStyle w:val="171"/>
        <w:rPr>
          <w:rFonts w:hint="eastAsia"/>
        </w:rPr>
      </w:pPr>
      <w:r>
        <w:rPr>
          <w:rFonts w:hint="eastAsia"/>
        </w:rPr>
        <w:t>肥料和农药的合理使用：推广绿色环保的肥料和农药，减少对环境的污染。采用有机肥料、生物肥料等，改善土壤结构，提高土壤肥力；合理使用农药，减少农药残留，实现资源的循环利用。</w:t>
      </w:r>
    </w:p>
    <w:p w14:paraId="4BF9C6E0">
      <w:pPr>
        <w:pStyle w:val="109"/>
        <w:snapToGrid w:val="0"/>
        <w:spacing w:before="120" w:after="120"/>
        <w:ind w:left="0"/>
      </w:pPr>
      <w:bookmarkStart w:id="144" w:name="_Toc191227022"/>
      <w:bookmarkStart w:id="145" w:name="_Toc191227302"/>
      <w:r>
        <w:rPr>
          <w:rFonts w:hint="eastAsia"/>
        </w:rPr>
        <w:t>评价指标</w:t>
      </w:r>
      <w:bookmarkEnd w:id="144"/>
      <w:bookmarkEnd w:id="145"/>
    </w:p>
    <w:p w14:paraId="484F6C9F">
      <w:pPr>
        <w:pStyle w:val="69"/>
        <w:snapToGrid w:val="0"/>
        <w:spacing w:before="120" w:after="120"/>
      </w:pPr>
      <w:r>
        <w:rPr>
          <w:rFonts w:hint="eastAsia"/>
        </w:rPr>
        <w:t>指标细化与量化</w:t>
      </w:r>
    </w:p>
    <w:p w14:paraId="2A06E329">
      <w:pPr>
        <w:pStyle w:val="98"/>
        <w:snapToGrid w:val="0"/>
        <w:spacing w:before="120" w:after="120"/>
      </w:pPr>
      <w:r>
        <w:rPr>
          <w:rFonts w:hint="eastAsia"/>
        </w:rPr>
        <w:t>增加指标维度</w:t>
      </w:r>
    </w:p>
    <w:p w14:paraId="654555BD">
      <w:pPr>
        <w:pStyle w:val="60"/>
        <w:ind w:firstLine="420"/>
      </w:pPr>
      <w:r>
        <w:rPr>
          <w:rFonts w:hint="eastAsia"/>
        </w:rPr>
        <w:t>应根据基地评价的内容和要求，增加新的评价指标，包括土壤质量指标（土壤酸碱度、有机质含量、土壤微生物数量等）、水资源利用效率指标（灌溉水利用系数、单位面积用水量等）、生态系统稳定性指标（生物多样性指数、生态系统服务功能价值等）。</w:t>
      </w:r>
    </w:p>
    <w:p w14:paraId="2FF71631">
      <w:pPr>
        <w:pStyle w:val="98"/>
        <w:snapToGrid w:val="0"/>
        <w:spacing w:before="120" w:after="120"/>
      </w:pPr>
      <w:r>
        <w:rPr>
          <w:rFonts w:hint="eastAsia"/>
        </w:rPr>
        <w:t>细化指标内容</w:t>
      </w:r>
    </w:p>
    <w:p w14:paraId="351B2A2C">
      <w:pPr>
        <w:pStyle w:val="60"/>
        <w:ind w:firstLine="420"/>
      </w:pPr>
      <w:r>
        <w:rPr>
          <w:rFonts w:hint="eastAsia"/>
        </w:rPr>
        <w:t>应对现有指标进行细化，明确指标的计算方法和评价标准。对于产量指标，明确计算单位面积产量、总产量等；对于经济效益指标，细化成本构成、利润计算方法等，应确保指标准确反映基地的实际情况。</w:t>
      </w:r>
    </w:p>
    <w:p w14:paraId="6E2DA1B0">
      <w:pPr>
        <w:pStyle w:val="98"/>
        <w:snapToGrid w:val="0"/>
        <w:spacing w:before="120" w:after="120"/>
      </w:pPr>
      <w:r>
        <w:rPr>
          <w:rFonts w:hint="eastAsia"/>
        </w:rPr>
        <w:t>量化指标权重</w:t>
      </w:r>
    </w:p>
    <w:p w14:paraId="67A0D69E">
      <w:pPr>
        <w:pStyle w:val="60"/>
        <w:ind w:firstLine="420"/>
      </w:pPr>
      <w:r>
        <w:rPr>
          <w:rFonts w:hint="eastAsia"/>
        </w:rPr>
        <w:t>采用科学的方法，包括层次分析法、模糊综合评价法等，对各项指标的权重进行量化。应根据基地的发展目标和重点，合理确定各项指标的权重，应确保评价结果客观、准确地反映基地的建设和发展水平。</w:t>
      </w:r>
    </w:p>
    <w:p w14:paraId="20566B01">
      <w:pPr>
        <w:pStyle w:val="69"/>
        <w:snapToGrid w:val="0"/>
        <w:spacing w:before="120" w:after="120"/>
      </w:pPr>
      <w:r>
        <w:rPr>
          <w:rFonts w:hint="eastAsia"/>
        </w:rPr>
        <w:t>评价标准优化</w:t>
      </w:r>
    </w:p>
    <w:p w14:paraId="2E53C5A7">
      <w:pPr>
        <w:pStyle w:val="98"/>
        <w:snapToGrid w:val="0"/>
        <w:spacing w:before="120" w:after="120"/>
      </w:pPr>
      <w:r>
        <w:rPr>
          <w:rFonts w:hint="eastAsia"/>
        </w:rPr>
        <w:t>国家标准引用</w:t>
      </w:r>
    </w:p>
    <w:p w14:paraId="5ED26BA9">
      <w:pPr>
        <w:pStyle w:val="60"/>
        <w:ind w:firstLine="420"/>
      </w:pPr>
      <w:r>
        <w:rPr>
          <w:rFonts w:hint="eastAsia"/>
        </w:rPr>
        <w:t>引用国家和行业相关标准作为评价标准，包括农产品质量安全标准、农业生态环境标准、农业设施建设标准等。确保评价标准的科学性和权威性，使基地评价符合国家和行业的要求。</w:t>
      </w:r>
    </w:p>
    <w:p w14:paraId="497923FC">
      <w:pPr>
        <w:pStyle w:val="98"/>
        <w:snapToGrid w:val="0"/>
        <w:spacing w:before="120" w:after="120"/>
      </w:pPr>
      <w:r>
        <w:rPr>
          <w:rFonts w:hint="eastAsia"/>
        </w:rPr>
        <w:t>地方标准结合</w:t>
      </w:r>
    </w:p>
    <w:p w14:paraId="47666279">
      <w:pPr>
        <w:pStyle w:val="60"/>
        <w:ind w:firstLine="420"/>
      </w:pPr>
      <w:r>
        <w:rPr>
          <w:rFonts w:hint="eastAsia"/>
        </w:rPr>
        <w:t>结合当地的实际情况，制定一些地方标准，作为评价标准的补充。考虑当地的气候条件、土壤类型、种植习惯等因素，使评价标准更加符合当地的实际需求。</w:t>
      </w:r>
    </w:p>
    <w:p w14:paraId="3DDC9353">
      <w:pPr>
        <w:pStyle w:val="98"/>
        <w:snapToGrid w:val="0"/>
        <w:spacing w:before="120" w:after="120"/>
      </w:pPr>
      <w:r>
        <w:rPr>
          <w:rFonts w:hint="eastAsia"/>
        </w:rPr>
        <w:t>动态调整标准</w:t>
      </w:r>
    </w:p>
    <w:p w14:paraId="520CA90C">
      <w:pPr>
        <w:pStyle w:val="60"/>
        <w:ind w:firstLine="420"/>
      </w:pPr>
      <w:r>
        <w:rPr>
          <w:rFonts w:hint="eastAsia"/>
        </w:rPr>
        <w:t>应根据基地建设和发展的需要，及时对评价标准进行调整和完善。随着技术的进步、市场需求的变化和生态环境的改变，不断更新评价标准，确保评价标准的有效性和适应性。</w:t>
      </w:r>
    </w:p>
    <w:p w14:paraId="4ABE1FA7">
      <w:pPr>
        <w:pStyle w:val="109"/>
        <w:snapToGrid w:val="0"/>
        <w:spacing w:before="120" w:after="120"/>
        <w:ind w:left="0"/>
      </w:pPr>
      <w:bookmarkStart w:id="146" w:name="_Toc191227303"/>
      <w:bookmarkStart w:id="147" w:name="_Toc191227023"/>
      <w:r>
        <w:rPr>
          <w:rFonts w:hint="eastAsia"/>
        </w:rPr>
        <w:t>评价标准</w:t>
      </w:r>
      <w:bookmarkEnd w:id="146"/>
      <w:bookmarkEnd w:id="147"/>
    </w:p>
    <w:p w14:paraId="7AD131E4">
      <w:pPr>
        <w:pStyle w:val="169"/>
      </w:pPr>
      <w:r>
        <w:rPr>
          <w:rFonts w:hint="eastAsia"/>
        </w:rPr>
        <w:t>兴隆咖啡种植基地评定申请表见附录A。</w:t>
      </w:r>
    </w:p>
    <w:p w14:paraId="4673EB11">
      <w:pPr>
        <w:pStyle w:val="169"/>
      </w:pPr>
      <w:r>
        <w:rPr>
          <w:rFonts w:hint="eastAsia"/>
        </w:rPr>
        <w:t>兴隆咖啡种植基地评价评分标准见附录B。</w:t>
      </w:r>
    </w:p>
    <w:p w14:paraId="680DD319">
      <w:pPr>
        <w:pStyle w:val="169"/>
      </w:pPr>
      <w:r>
        <w:rPr>
          <w:rFonts w:hint="eastAsia"/>
        </w:rPr>
        <w:t>兴隆咖啡种植基地评价结论表附录C。</w:t>
      </w:r>
    </w:p>
    <w:p w14:paraId="756863CF">
      <w:pPr>
        <w:pStyle w:val="60"/>
        <w:ind w:firstLine="420"/>
      </w:pPr>
    </w:p>
    <w:p w14:paraId="40C9F476">
      <w:pPr>
        <w:widowControl/>
        <w:adjustRightInd/>
        <w:spacing w:line="240" w:lineRule="auto"/>
        <w:jc w:val="left"/>
        <w:rPr>
          <w:rFonts w:ascii="宋体" w:hAnsi="Times New Roman"/>
          <w:kern w:val="0"/>
          <w:szCs w:val="20"/>
        </w:rPr>
      </w:pPr>
      <w:r>
        <w:br w:type="page"/>
      </w:r>
    </w:p>
    <w:p w14:paraId="1EB41AE0">
      <w:pPr>
        <w:pStyle w:val="80"/>
      </w:pPr>
      <w:bookmarkStart w:id="148" w:name="OLE_LINK14"/>
      <w:r>
        <w:br w:type="textWrapping"/>
      </w:r>
      <w:bookmarkStart w:id="149" w:name="_Toc191227024"/>
      <w:bookmarkStart w:id="150" w:name="_Toc191227304"/>
      <w:r>
        <w:rPr>
          <w:rFonts w:hint="eastAsia"/>
        </w:rPr>
        <w:t>（资料性）</w:t>
      </w:r>
      <w:bookmarkEnd w:id="149"/>
      <w:bookmarkEnd w:id="150"/>
    </w:p>
    <w:p w14:paraId="7E77CC34">
      <w:pPr>
        <w:pStyle w:val="60"/>
        <w:ind w:firstLine="0" w:firstLineChars="0"/>
        <w:jc w:val="center"/>
        <w:rPr>
          <w:rFonts w:hint="eastAsia" w:ascii="黑体" w:hAnsi="黑体" w:eastAsia="黑体"/>
        </w:rPr>
      </w:pPr>
      <w:r>
        <w:rPr>
          <w:rFonts w:hint="eastAsia" w:ascii="黑体" w:hAnsi="黑体" w:eastAsia="黑体"/>
        </w:rPr>
        <w:t>兴隆咖啡种植基地评定申请表</w:t>
      </w:r>
    </w:p>
    <w:p w14:paraId="54E1D602">
      <w:pPr>
        <w:pStyle w:val="82"/>
        <w:spacing w:before="120" w:after="120"/>
        <w:rPr>
          <w:shd w:val="clear" w:color="auto" w:fill="FFFFFF"/>
        </w:rPr>
      </w:pPr>
      <w:bookmarkStart w:id="151" w:name="_Toc191227025"/>
      <w:bookmarkStart w:id="152" w:name="_Toc191227305"/>
      <w:r>
        <w:rPr>
          <w:rFonts w:hint="eastAsia"/>
          <w:shd w:val="clear" w:color="auto" w:fill="FFFFFF"/>
        </w:rPr>
        <w:t>封面</w:t>
      </w:r>
      <w:bookmarkEnd w:id="151"/>
      <w:bookmarkEnd w:id="152"/>
    </w:p>
    <w:p w14:paraId="76DBF2F3">
      <w:pPr>
        <w:pStyle w:val="60"/>
        <w:ind w:firstLine="420"/>
        <w:rPr>
          <w:shd w:val="clear" w:color="auto" w:fill="FFFFFF"/>
        </w:rPr>
      </w:pPr>
      <w:r>
        <w:rPr>
          <w:rFonts w:hint="eastAsia"/>
          <w:shd w:val="clear" w:color="auto" w:fill="FFFFFF"/>
        </w:rPr>
        <w:t>图A.1规定了兴隆咖啡种植基地申请表的封面格式。</w:t>
      </w:r>
    </w:p>
    <w:p w14:paraId="6F044784">
      <w:pPr>
        <w:widowControl/>
        <w:shd w:val="clear" w:color="auto" w:fill="FFFFFF"/>
        <w:adjustRightInd/>
        <w:spacing w:line="360" w:lineRule="atLeast"/>
        <w:ind w:firstLine="654" w:firstLineChars="300"/>
        <w:jc w:val="left"/>
        <w:textAlignment w:val="baseline"/>
        <w:rPr>
          <w:rFonts w:hint="eastAsia" w:ascii="宋体" w:hAnsi="宋体"/>
          <w:color w:val="060607"/>
          <w:spacing w:val="4"/>
          <w:kern w:val="0"/>
          <w:shd w:val="clear" w:color="auto" w:fill="FFFFFF"/>
        </w:rPr>
      </w:pPr>
    </w:p>
    <w:p w14:paraId="12387AE2">
      <w:pPr>
        <w:widowControl/>
        <w:shd w:val="clear" w:color="auto" w:fill="FFFFFF"/>
        <w:adjustRightInd/>
        <w:spacing w:line="360" w:lineRule="atLeast"/>
        <w:jc w:val="center"/>
        <w:textAlignment w:val="baseline"/>
        <w:rPr>
          <w:rFonts w:ascii="Helvetica" w:hAnsi="Helvetica"/>
          <w:color w:val="060607"/>
          <w:spacing w:val="4"/>
          <w:kern w:val="0"/>
          <w:shd w:val="clear" w:color="auto" w:fill="FFFFFF"/>
        </w:rPr>
      </w:pPr>
      <w:r>
        <w:drawing>
          <wp:inline distT="0" distB="0" distL="0" distR="0">
            <wp:extent cx="4819650" cy="6772910"/>
            <wp:effectExtent l="0" t="0" r="0" b="8890"/>
            <wp:docPr id="3" name="图片 3" descr="C:\Users\huang\AppData\Local\Temp\ksohtml1810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huang\AppData\Local\Temp\ksohtml18104\wps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27912" cy="6784711"/>
                    </a:xfrm>
                    <a:prstGeom prst="rect">
                      <a:avLst/>
                    </a:prstGeom>
                    <a:noFill/>
                    <a:ln>
                      <a:noFill/>
                    </a:ln>
                  </pic:spPr>
                </pic:pic>
              </a:graphicData>
            </a:graphic>
          </wp:inline>
        </w:drawing>
      </w:r>
    </w:p>
    <w:p w14:paraId="1BCEE12F">
      <w:pPr>
        <w:widowControl/>
        <w:shd w:val="clear" w:color="auto" w:fill="FFFFFF"/>
        <w:adjustRightInd/>
        <w:spacing w:line="360" w:lineRule="atLeast"/>
        <w:ind w:firstLine="2834" w:firstLineChars="1300"/>
        <w:jc w:val="left"/>
        <w:textAlignment w:val="baseline"/>
        <w:rPr>
          <w:rFonts w:hint="eastAsia" w:ascii="黑体" w:hAnsi="黑体" w:eastAsia="黑体"/>
          <w:color w:val="060607"/>
          <w:spacing w:val="4"/>
          <w:kern w:val="0"/>
          <w:shd w:val="clear" w:color="auto" w:fill="FFFFFF"/>
        </w:rPr>
      </w:pPr>
      <w:r>
        <w:rPr>
          <w:rFonts w:hint="eastAsia" w:ascii="黑体" w:hAnsi="黑体" w:eastAsia="黑体"/>
          <w:color w:val="060607"/>
          <w:spacing w:val="4"/>
          <w:kern w:val="0"/>
          <w:shd w:val="clear" w:color="auto" w:fill="FFFFFF"/>
        </w:rPr>
        <w:t>图A.1  评价申请表封面格式</w:t>
      </w:r>
    </w:p>
    <w:p w14:paraId="6AA17A93">
      <w:pPr>
        <w:pStyle w:val="60"/>
        <w:ind w:firstLine="0" w:firstLineChars="0"/>
        <w:jc w:val="center"/>
        <w:rPr>
          <w:rFonts w:hint="eastAsia" w:ascii="黑体" w:hAnsi="黑体" w:eastAsia="黑体"/>
        </w:rPr>
      </w:pPr>
    </w:p>
    <w:p w14:paraId="4FE84393">
      <w:pPr>
        <w:pStyle w:val="82"/>
        <w:spacing w:before="120" w:after="120"/>
        <w:rPr>
          <w:shd w:val="clear" w:color="auto" w:fill="FFFFFF"/>
        </w:rPr>
      </w:pPr>
      <w:bookmarkStart w:id="153" w:name="_Toc191227306"/>
      <w:bookmarkStart w:id="154" w:name="_Toc191227026"/>
      <w:r>
        <w:rPr>
          <w:rFonts w:hint="eastAsia"/>
          <w:shd w:val="clear" w:color="auto" w:fill="FFFFFF"/>
        </w:rPr>
        <w:t>评价申请表--单位基本情况</w:t>
      </w:r>
      <w:bookmarkEnd w:id="153"/>
      <w:bookmarkEnd w:id="154"/>
    </w:p>
    <w:p w14:paraId="1C754701">
      <w:pPr>
        <w:pStyle w:val="60"/>
        <w:ind w:firstLine="420"/>
        <w:rPr>
          <w:shd w:val="clear" w:color="auto" w:fill="FFFFFF"/>
        </w:rPr>
      </w:pPr>
      <w:r>
        <w:rPr>
          <w:rFonts w:hint="eastAsia"/>
          <w:shd w:val="clear" w:color="auto" w:fill="FFFFFF"/>
        </w:rPr>
        <w:t>表A.</w:t>
      </w:r>
      <w:r>
        <w:rPr>
          <w:shd w:val="clear" w:color="auto" w:fill="FFFFFF"/>
        </w:rPr>
        <w:t>1</w:t>
      </w:r>
      <w:r>
        <w:rPr>
          <w:rFonts w:hint="eastAsia"/>
          <w:shd w:val="clear" w:color="auto" w:fill="FFFFFF"/>
        </w:rPr>
        <w:t>规定了兴隆咖啡种植基地评价申请表--单位基本情况的内容。</w:t>
      </w:r>
    </w:p>
    <w:p w14:paraId="5A31BAB8">
      <w:pPr>
        <w:widowControl/>
        <w:shd w:val="clear" w:color="auto" w:fill="FFFFFF"/>
        <w:adjustRightInd/>
        <w:spacing w:line="360" w:lineRule="auto"/>
        <w:jc w:val="center"/>
        <w:textAlignment w:val="baseline"/>
        <w:rPr>
          <w:rFonts w:hint="eastAsia" w:ascii="黑体" w:hAnsi="黑体" w:eastAsia="黑体"/>
          <w:color w:val="060607"/>
          <w:spacing w:val="4"/>
          <w:kern w:val="0"/>
          <w:shd w:val="clear" w:color="auto" w:fill="FFFFFF"/>
        </w:rPr>
      </w:pPr>
    </w:p>
    <w:p w14:paraId="40D4F804">
      <w:pPr>
        <w:pStyle w:val="81"/>
        <w:rPr>
          <w:rFonts w:ascii="Helvetica" w:hAnsi="Helvetica"/>
          <w:shd w:val="clear" w:color="auto" w:fill="FFFFFF"/>
        </w:rPr>
      </w:pPr>
      <w:r>
        <w:rPr>
          <w:rFonts w:hint="eastAsia"/>
          <w:shd w:val="clear" w:color="auto" w:fill="FFFFFF"/>
        </w:rPr>
        <w:t>评价申请表--单位基本情况</w:t>
      </w:r>
    </w:p>
    <w:tbl>
      <w:tblPr>
        <w:tblStyle w:val="29"/>
        <w:tblW w:w="879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956"/>
        <w:gridCol w:w="3105"/>
        <w:gridCol w:w="3719"/>
        <w:gridCol w:w="16"/>
      </w:tblGrid>
      <w:tr w14:paraId="7A040A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1956" w:type="dxa"/>
            <w:tcBorders>
              <w:top w:val="single" w:color="auto" w:sz="12"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453B7CC2">
            <w:pPr>
              <w:widowControl/>
              <w:adjustRightInd/>
              <w:spacing w:line="600" w:lineRule="auto"/>
              <w:jc w:val="center"/>
              <w:textAlignment w:val="center"/>
              <w:rPr>
                <w:rFonts w:hint="eastAsia" w:ascii="黑体" w:hAnsi="黑体" w:eastAsia="黑体"/>
                <w:color w:val="060607"/>
                <w:spacing w:val="8"/>
                <w:sz w:val="18"/>
                <w:szCs w:val="18"/>
              </w:rPr>
            </w:pPr>
            <w:r>
              <w:rPr>
                <w:rFonts w:hint="eastAsia" w:ascii="黑体" w:hAnsi="黑体" w:eastAsia="黑体"/>
                <w:color w:val="060607"/>
                <w:spacing w:val="8"/>
                <w:kern w:val="0"/>
                <w:sz w:val="18"/>
                <w:szCs w:val="18"/>
              </w:rPr>
              <w:t>组织名称</w:t>
            </w:r>
          </w:p>
        </w:tc>
        <w:tc>
          <w:tcPr>
            <w:tcW w:w="6840" w:type="dxa"/>
            <w:gridSpan w:val="3"/>
            <w:tcBorders>
              <w:top w:val="single" w:color="auto" w:sz="12"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162DE703">
            <w:pPr>
              <w:widowControl/>
              <w:adjustRightInd/>
              <w:spacing w:line="600" w:lineRule="auto"/>
              <w:jc w:val="left"/>
              <w:textAlignment w:val="center"/>
              <w:rPr>
                <w:rFonts w:hint="eastAsia" w:ascii="宋体" w:hAnsi="宋体"/>
                <w:color w:val="060607"/>
                <w:spacing w:val="8"/>
                <w:sz w:val="18"/>
                <w:szCs w:val="18"/>
              </w:rPr>
            </w:pPr>
            <w:r>
              <w:rPr>
                <w:rFonts w:hint="eastAsia" w:ascii="宋体" w:hAnsi="宋体"/>
                <w:color w:val="060607"/>
                <w:spacing w:val="4"/>
                <w:kern w:val="0"/>
                <w:sz w:val="18"/>
                <w:szCs w:val="18"/>
              </w:rPr>
              <w:t>[填写单位全称]</w:t>
            </w:r>
          </w:p>
        </w:tc>
      </w:tr>
      <w:tr w14:paraId="0A4809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0825C4BB">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通讯地址</w:t>
            </w:r>
          </w:p>
        </w:tc>
        <w:tc>
          <w:tcPr>
            <w:tcW w:w="6840" w:type="dxa"/>
            <w:gridSpan w:val="3"/>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2BF8FE7F">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[填写详细地址]</w:t>
            </w:r>
          </w:p>
        </w:tc>
      </w:tr>
      <w:tr w14:paraId="4EF330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089AC864">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法定代表人</w:t>
            </w:r>
          </w:p>
        </w:tc>
        <w:tc>
          <w:tcPr>
            <w:tcW w:w="6840" w:type="dxa"/>
            <w:gridSpan w:val="3"/>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350654E2">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[法定代表人姓名]</w:t>
            </w:r>
          </w:p>
        </w:tc>
      </w:tr>
      <w:tr w14:paraId="261510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629A71E1">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职工人数</w:t>
            </w:r>
          </w:p>
        </w:tc>
        <w:tc>
          <w:tcPr>
            <w:tcW w:w="6840" w:type="dxa"/>
            <w:gridSpan w:val="3"/>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5A0FAAB7">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[人数] 人</w:t>
            </w:r>
          </w:p>
        </w:tc>
      </w:tr>
      <w:tr w14:paraId="1E2A9B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1126555E">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种植管理机构</w:t>
            </w:r>
          </w:p>
        </w:tc>
        <w:tc>
          <w:tcPr>
            <w:tcW w:w="6840" w:type="dxa"/>
            <w:gridSpan w:val="3"/>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06A5B558">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[机构名称]</w:t>
            </w:r>
          </w:p>
        </w:tc>
      </w:tr>
      <w:tr w14:paraId="37E7CA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6394CADD">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种植工作人员</w:t>
            </w:r>
          </w:p>
        </w:tc>
        <w:tc>
          <w:tcPr>
            <w:tcW w:w="3105" w:type="dxa"/>
            <w:tcBorders>
              <w:top w:val="single" w:color="auto" w:sz="4" w:space="0"/>
              <w:left w:val="single" w:color="auto" w:sz="4"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5E375DB8">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专职 人</w:t>
            </w:r>
          </w:p>
        </w:tc>
        <w:tc>
          <w:tcPr>
            <w:tcW w:w="3735" w:type="dxa"/>
            <w:gridSpan w:val="2"/>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0D134918">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兼职 人</w:t>
            </w:r>
          </w:p>
        </w:tc>
      </w:tr>
      <w:tr w14:paraId="31B670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525A07F5">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主营业务</w:t>
            </w:r>
          </w:p>
        </w:tc>
        <w:tc>
          <w:tcPr>
            <w:tcW w:w="6840" w:type="dxa"/>
            <w:gridSpan w:val="3"/>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62F02488">
            <w:pPr>
              <w:adjustRightInd/>
              <w:spacing w:line="600" w:lineRule="auto"/>
              <w:rPr>
                <w:rFonts w:hint="eastAsia" w:ascii="宋体" w:hAnsi="宋体"/>
                <w:color w:val="060607"/>
                <w:spacing w:val="8"/>
                <w:sz w:val="18"/>
                <w:szCs w:val="18"/>
              </w:rPr>
            </w:pPr>
            <w:r>
              <w:rPr>
                <w:rFonts w:hint="eastAsia" w:ascii="宋体" w:hAnsi="宋体"/>
                <w:color w:val="060607"/>
                <w:spacing w:val="4"/>
                <w:kern w:val="0"/>
                <w:sz w:val="18"/>
                <w:szCs w:val="18"/>
              </w:rPr>
              <w:t>兴隆咖啡种植、加工、销售</w:t>
            </w:r>
          </w:p>
        </w:tc>
      </w:tr>
      <w:tr w14:paraId="297088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gridAfter w:val="1"/>
          <w:wAfter w:w="16" w:type="dxa"/>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3EF8DCC9">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所属类型</w:t>
            </w:r>
          </w:p>
        </w:tc>
        <w:tc>
          <w:tcPr>
            <w:tcW w:w="6824" w:type="dxa"/>
            <w:gridSpan w:val="2"/>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6C3ADE56">
            <w:pPr>
              <w:adjustRightInd/>
              <w:spacing w:line="600" w:lineRule="auto"/>
              <w:rPr>
                <w:rFonts w:hint="eastAsia" w:ascii="宋体" w:hAnsi="宋体"/>
                <w:color w:val="060607"/>
                <w:spacing w:val="8"/>
                <w:sz w:val="18"/>
                <w:szCs w:val="18"/>
              </w:rPr>
            </w:pPr>
          </w:p>
        </w:tc>
      </w:tr>
      <w:tr w14:paraId="059AE3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gridAfter w:val="1"/>
          <w:wAfter w:w="16" w:type="dxa"/>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5D3EAD32">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所属行业</w:t>
            </w:r>
          </w:p>
        </w:tc>
        <w:tc>
          <w:tcPr>
            <w:tcW w:w="6824" w:type="dxa"/>
            <w:gridSpan w:val="2"/>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48873220">
            <w:pPr>
              <w:adjustRightInd/>
              <w:spacing w:line="600" w:lineRule="auto"/>
              <w:rPr>
                <w:rFonts w:hint="eastAsia" w:ascii="宋体" w:hAnsi="宋体"/>
                <w:color w:val="060607"/>
                <w:spacing w:val="8"/>
                <w:sz w:val="18"/>
                <w:szCs w:val="18"/>
              </w:rPr>
            </w:pPr>
            <w:r>
              <w:rPr>
                <w:rFonts w:hint="eastAsia" w:ascii="宋体" w:hAnsi="宋体"/>
                <w:color w:val="060607"/>
                <w:spacing w:val="4"/>
                <w:kern w:val="0"/>
                <w:sz w:val="18"/>
                <w:szCs w:val="18"/>
              </w:rPr>
              <w:t>农、林、牧、渔业</w:t>
            </w:r>
          </w:p>
        </w:tc>
      </w:tr>
      <w:tr w14:paraId="182CFA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gridAfter w:val="1"/>
          <w:wAfter w:w="16" w:type="dxa"/>
          <w:jc w:val="center"/>
        </w:trPr>
        <w:tc>
          <w:tcPr>
            <w:tcW w:w="1956" w:type="dxa"/>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2206F805">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种植基地负责人</w:t>
            </w:r>
          </w:p>
        </w:tc>
        <w:tc>
          <w:tcPr>
            <w:tcW w:w="3105" w:type="dxa"/>
            <w:tcBorders>
              <w:top w:val="single" w:color="auto" w:sz="4" w:space="0"/>
              <w:left w:val="single" w:color="auto" w:sz="4"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0065ABAA">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姓名/职务：</w:t>
            </w:r>
          </w:p>
        </w:tc>
        <w:tc>
          <w:tcPr>
            <w:tcW w:w="3719" w:type="dxa"/>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5777560C">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联系电话：</w:t>
            </w:r>
          </w:p>
        </w:tc>
      </w:tr>
      <w:tr w14:paraId="0521FC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gridAfter w:val="1"/>
          <w:wAfter w:w="16" w:type="dxa"/>
          <w:jc w:val="center"/>
        </w:trPr>
        <w:tc>
          <w:tcPr>
            <w:tcW w:w="1956" w:type="dxa"/>
            <w:tcBorders>
              <w:top w:val="single" w:color="auto" w:sz="4" w:space="0"/>
              <w:left w:val="single" w:color="auto" w:sz="12" w:space="0"/>
              <w:bottom w:val="single" w:color="auto" w:sz="12" w:space="0"/>
              <w:right w:val="single" w:color="auto" w:sz="4" w:space="0"/>
            </w:tcBorders>
            <w:shd w:val="clear" w:color="auto" w:fill="FFFFFF"/>
            <w:tcMar>
              <w:top w:w="180" w:type="dxa"/>
              <w:left w:w="240" w:type="dxa"/>
              <w:bottom w:w="180" w:type="dxa"/>
              <w:right w:w="240" w:type="dxa"/>
            </w:tcMar>
            <w:vAlign w:val="center"/>
          </w:tcPr>
          <w:p w14:paraId="1093F20D">
            <w:pPr>
              <w:widowControl/>
              <w:adjustRightInd/>
              <w:spacing w:line="600" w:lineRule="auto"/>
              <w:jc w:val="center"/>
              <w:textAlignment w:val="center"/>
              <w:rPr>
                <w:rFonts w:hint="eastAsia" w:ascii="黑体" w:hAnsi="黑体" w:eastAsia="黑体"/>
                <w:color w:val="060607"/>
                <w:spacing w:val="4"/>
                <w:sz w:val="18"/>
                <w:szCs w:val="18"/>
              </w:rPr>
            </w:pPr>
            <w:r>
              <w:rPr>
                <w:rFonts w:hint="eastAsia" w:ascii="黑体" w:hAnsi="黑体" w:eastAsia="黑体"/>
                <w:color w:val="060607"/>
                <w:spacing w:val="4"/>
                <w:kern w:val="0"/>
                <w:sz w:val="18"/>
                <w:szCs w:val="18"/>
              </w:rPr>
              <w:t>联系人</w:t>
            </w:r>
          </w:p>
        </w:tc>
        <w:tc>
          <w:tcPr>
            <w:tcW w:w="3105" w:type="dxa"/>
            <w:tcBorders>
              <w:top w:val="single" w:color="auto" w:sz="4" w:space="0"/>
              <w:left w:val="single" w:color="auto" w:sz="4" w:space="0"/>
              <w:bottom w:val="single" w:color="auto" w:sz="12" w:space="0"/>
              <w:right w:val="single" w:color="auto" w:sz="4" w:space="0"/>
            </w:tcBorders>
            <w:shd w:val="clear" w:color="auto" w:fill="FFFFFF"/>
            <w:tcMar>
              <w:top w:w="180" w:type="dxa"/>
              <w:left w:w="240" w:type="dxa"/>
              <w:bottom w:w="180" w:type="dxa"/>
              <w:right w:w="240" w:type="dxa"/>
            </w:tcMar>
            <w:vAlign w:val="center"/>
          </w:tcPr>
          <w:p w14:paraId="16B98A82">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姓名/职务</w:t>
            </w:r>
          </w:p>
        </w:tc>
        <w:tc>
          <w:tcPr>
            <w:tcW w:w="3719" w:type="dxa"/>
            <w:tcBorders>
              <w:top w:val="single" w:color="auto" w:sz="4" w:space="0"/>
              <w:left w:val="single" w:color="auto" w:sz="4" w:space="0"/>
              <w:bottom w:val="single" w:color="auto" w:sz="12" w:space="0"/>
              <w:right w:val="single" w:color="auto" w:sz="12" w:space="0"/>
            </w:tcBorders>
            <w:shd w:val="clear" w:color="auto" w:fill="FFFFFF"/>
            <w:tcMar>
              <w:top w:w="180" w:type="dxa"/>
              <w:left w:w="240" w:type="dxa"/>
              <w:bottom w:w="180" w:type="dxa"/>
              <w:right w:w="240" w:type="dxa"/>
            </w:tcMar>
            <w:vAlign w:val="center"/>
          </w:tcPr>
          <w:p w14:paraId="67035007">
            <w:pPr>
              <w:widowControl/>
              <w:adjustRightInd/>
              <w:spacing w:line="600" w:lineRule="auto"/>
              <w:jc w:val="left"/>
              <w:textAlignment w:val="center"/>
              <w:rPr>
                <w:rFonts w:hint="eastAsia" w:ascii="宋体" w:hAnsi="宋体"/>
                <w:color w:val="060607"/>
                <w:spacing w:val="4"/>
                <w:sz w:val="18"/>
                <w:szCs w:val="18"/>
              </w:rPr>
            </w:pPr>
            <w:r>
              <w:rPr>
                <w:rFonts w:hint="eastAsia" w:ascii="宋体" w:hAnsi="宋体"/>
                <w:color w:val="060607"/>
                <w:spacing w:val="4"/>
                <w:kern w:val="0"/>
                <w:sz w:val="18"/>
                <w:szCs w:val="18"/>
              </w:rPr>
              <w:t>联系电话：</w:t>
            </w:r>
          </w:p>
        </w:tc>
      </w:tr>
    </w:tbl>
    <w:p w14:paraId="03D61531">
      <w:pPr>
        <w:widowControl/>
        <w:shd w:val="clear" w:color="auto" w:fill="FFFFFF"/>
        <w:adjustRightInd/>
        <w:spacing w:line="360" w:lineRule="atLeast"/>
        <w:jc w:val="left"/>
        <w:textAlignment w:val="baseline"/>
        <w:rPr>
          <w:rFonts w:ascii="Helvetica" w:hAnsi="Helvetica"/>
          <w:color w:val="060607"/>
          <w:spacing w:val="4"/>
          <w:kern w:val="0"/>
          <w:shd w:val="clear" w:color="auto" w:fill="FFFFFF"/>
        </w:rPr>
      </w:pPr>
      <w:r>
        <w:rPr>
          <w:rFonts w:ascii="Helvetica" w:hAnsi="Helvetica"/>
          <w:color w:val="060607"/>
          <w:spacing w:val="4"/>
          <w:kern w:val="0"/>
          <w:shd w:val="clear" w:color="auto" w:fill="FFFFFF"/>
        </w:rPr>
        <w:t xml:space="preserve"> </w:t>
      </w:r>
    </w:p>
    <w:p w14:paraId="46F79D4A">
      <w:pPr>
        <w:widowControl/>
        <w:shd w:val="clear" w:color="auto" w:fill="FFFFFF"/>
        <w:adjustRightInd/>
        <w:spacing w:line="360" w:lineRule="atLeast"/>
        <w:jc w:val="left"/>
        <w:textAlignment w:val="baseline"/>
        <w:rPr>
          <w:rFonts w:ascii="Helvetica" w:hAnsi="Helvetica"/>
          <w:color w:val="060607"/>
          <w:spacing w:val="4"/>
          <w:kern w:val="0"/>
          <w:shd w:val="clear" w:color="auto" w:fill="FFFFFF"/>
        </w:rPr>
      </w:pPr>
      <w:r>
        <w:rPr>
          <w:rFonts w:ascii="Helvetica" w:hAnsi="Helvetica"/>
          <w:color w:val="060607"/>
          <w:spacing w:val="4"/>
          <w:kern w:val="0"/>
          <w:shd w:val="clear" w:color="auto" w:fill="FFFFFF"/>
        </w:rPr>
        <w:t xml:space="preserve"> </w:t>
      </w:r>
    </w:p>
    <w:p w14:paraId="245A0B55">
      <w:pPr>
        <w:widowControl/>
        <w:shd w:val="clear" w:color="auto" w:fill="FFFFFF"/>
        <w:adjustRightInd/>
        <w:spacing w:line="360" w:lineRule="atLeast"/>
        <w:jc w:val="left"/>
        <w:textAlignment w:val="baseline"/>
        <w:rPr>
          <w:rFonts w:ascii="Helvetica" w:hAnsi="Helvetica"/>
          <w:color w:val="060607"/>
          <w:spacing w:val="4"/>
          <w:kern w:val="0"/>
          <w:shd w:val="clear" w:color="auto" w:fill="FFFFFF"/>
        </w:rPr>
      </w:pPr>
    </w:p>
    <w:p w14:paraId="2D71817D">
      <w:pPr>
        <w:pStyle w:val="82"/>
        <w:spacing w:before="120" w:after="120"/>
        <w:rPr>
          <w:shd w:val="clear" w:color="auto" w:fill="FFFFFF"/>
        </w:rPr>
      </w:pPr>
      <w:bookmarkStart w:id="155" w:name="_Toc191227307"/>
      <w:bookmarkStart w:id="156" w:name="_Toc191227027"/>
      <w:r>
        <w:rPr>
          <w:shd w:val="clear" w:color="auto" w:fill="FFFFFF"/>
        </w:rPr>
        <w:t>评价申请表---种植基地建设情况</w:t>
      </w:r>
      <w:bookmarkEnd w:id="155"/>
      <w:bookmarkEnd w:id="156"/>
    </w:p>
    <w:p w14:paraId="7681686E">
      <w:pPr>
        <w:pStyle w:val="60"/>
        <w:ind w:firstLine="420"/>
        <w:rPr>
          <w:shd w:val="clear" w:color="auto" w:fill="FFFFFF"/>
        </w:rPr>
      </w:pPr>
      <w:r>
        <w:rPr>
          <w:shd w:val="clear" w:color="auto" w:fill="FFFFFF"/>
        </w:rPr>
        <w:t>表</w:t>
      </w:r>
      <w:r>
        <w:rPr>
          <w:rFonts w:hAnsi="宋体"/>
          <w:shd w:val="clear" w:color="auto" w:fill="FFFFFF"/>
        </w:rPr>
        <w:t>A.2</w:t>
      </w:r>
      <w:r>
        <w:rPr>
          <w:shd w:val="clear" w:color="auto" w:fill="FFFFFF"/>
        </w:rPr>
        <w:t>规定了兴隆咖啡种植基地评价申请表--单位基本情况的内容。</w:t>
      </w:r>
    </w:p>
    <w:p w14:paraId="5D9043DD">
      <w:pPr>
        <w:pStyle w:val="81"/>
        <w:rPr>
          <w:shd w:val="clear" w:color="auto" w:fill="FFFFFF"/>
        </w:rPr>
      </w:pPr>
      <w:r>
        <w:rPr>
          <w:shd w:val="clear" w:color="auto" w:fill="FFFFFF"/>
        </w:rPr>
        <w:t>评价申请表---种植基地建设情况</w:t>
      </w:r>
    </w:p>
    <w:tbl>
      <w:tblPr>
        <w:tblStyle w:val="29"/>
        <w:tblW w:w="0" w:type="auto"/>
        <w:tblInd w:w="-157"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883"/>
        <w:gridCol w:w="2294"/>
        <w:gridCol w:w="1170"/>
        <w:gridCol w:w="1125"/>
        <w:gridCol w:w="2884"/>
      </w:tblGrid>
      <w:tr w14:paraId="0191E4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883" w:type="dxa"/>
            <w:tcBorders>
              <w:top w:val="single" w:color="auto" w:sz="12" w:space="0"/>
              <w:left w:val="single" w:color="auto" w:sz="12"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02885187">
            <w:pPr>
              <w:widowControl/>
              <w:adjustRightInd/>
              <w:spacing w:line="360" w:lineRule="atLeast"/>
              <w:ind w:left="-199" w:leftChars="-95"/>
              <w:jc w:val="center"/>
              <w:textAlignment w:val="center"/>
              <w:rPr>
                <w:rFonts w:hint="eastAsia" w:ascii="黑体" w:hAnsi="黑体" w:eastAsia="黑体"/>
                <w:spacing w:val="8"/>
                <w:sz w:val="18"/>
                <w:szCs w:val="18"/>
              </w:rPr>
            </w:pPr>
            <w:r>
              <w:rPr>
                <w:rFonts w:hint="eastAsia" w:ascii="黑体" w:hAnsi="黑体" w:eastAsia="黑体"/>
                <w:spacing w:val="8"/>
                <w:kern w:val="0"/>
                <w:sz w:val="18"/>
                <w:szCs w:val="18"/>
              </w:rPr>
              <w:t>土地利用情况</w:t>
            </w:r>
          </w:p>
        </w:tc>
        <w:tc>
          <w:tcPr>
            <w:tcW w:w="3464" w:type="dxa"/>
            <w:gridSpan w:val="2"/>
            <w:tcBorders>
              <w:top w:val="single" w:color="auto" w:sz="12" w:space="0"/>
              <w:left w:val="single" w:color="auto" w:sz="6"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42AC4C29">
            <w:pPr>
              <w:widowControl/>
              <w:adjustRightInd/>
              <w:spacing w:line="360" w:lineRule="atLeast"/>
              <w:ind w:left="-199" w:leftChars="-95"/>
              <w:jc w:val="center"/>
              <w:textAlignment w:val="center"/>
              <w:rPr>
                <w:rFonts w:hint="eastAsia" w:ascii="宋体" w:hAnsi="宋体"/>
                <w:spacing w:val="8"/>
                <w:sz w:val="18"/>
                <w:szCs w:val="18"/>
              </w:rPr>
            </w:pPr>
            <w:r>
              <w:rPr>
                <w:rFonts w:hint="eastAsia" w:ascii="宋体" w:hAnsi="宋体"/>
                <w:spacing w:val="8"/>
                <w:kern w:val="0"/>
                <w:sz w:val="18"/>
                <w:szCs w:val="18"/>
              </w:rPr>
              <w:t>占用基本农田 [是/否]</w:t>
            </w:r>
          </w:p>
        </w:tc>
        <w:tc>
          <w:tcPr>
            <w:tcW w:w="4009" w:type="dxa"/>
            <w:gridSpan w:val="2"/>
            <w:tcBorders>
              <w:top w:val="single" w:color="auto" w:sz="12" w:space="0"/>
              <w:left w:val="single" w:color="auto" w:sz="6" w:space="0"/>
              <w:bottom w:val="single" w:color="auto" w:sz="6" w:space="0"/>
              <w:right w:val="single" w:color="auto" w:sz="12" w:space="0"/>
            </w:tcBorders>
            <w:shd w:val="clear" w:color="auto" w:fill="FFFFFF"/>
            <w:tcMar>
              <w:top w:w="180" w:type="dxa"/>
              <w:left w:w="240" w:type="dxa"/>
              <w:bottom w:w="180" w:type="dxa"/>
              <w:right w:w="240" w:type="dxa"/>
            </w:tcMar>
            <w:vAlign w:val="center"/>
          </w:tcPr>
          <w:p w14:paraId="66F28980">
            <w:pPr>
              <w:widowControl/>
              <w:adjustRightInd/>
              <w:spacing w:line="360" w:lineRule="atLeast"/>
              <w:jc w:val="left"/>
              <w:textAlignment w:val="center"/>
              <w:rPr>
                <w:rFonts w:hint="eastAsia" w:ascii="宋体" w:hAnsi="宋体"/>
                <w:spacing w:val="8"/>
                <w:sz w:val="18"/>
                <w:szCs w:val="18"/>
              </w:rPr>
            </w:pPr>
            <w:r>
              <w:rPr>
                <w:rFonts w:hint="eastAsia" w:ascii="宋体" w:hAnsi="宋体"/>
                <w:spacing w:val="8"/>
                <w:kern w:val="0"/>
                <w:sz w:val="18"/>
                <w:szCs w:val="18"/>
              </w:rPr>
              <w:t>占用生态保护区 [是/否]</w:t>
            </w:r>
          </w:p>
        </w:tc>
      </w:tr>
      <w:tr w14:paraId="30FBDD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883" w:type="dxa"/>
            <w:tcBorders>
              <w:top w:val="single" w:color="auto" w:sz="6" w:space="0"/>
              <w:left w:val="single" w:color="auto" w:sz="12"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55002BED">
            <w:pPr>
              <w:widowControl/>
              <w:adjustRightInd/>
              <w:spacing w:line="360" w:lineRule="atLeast"/>
              <w:ind w:left="-199" w:leftChars="-95"/>
              <w:jc w:val="center"/>
              <w:textAlignment w:val="center"/>
              <w:rPr>
                <w:rFonts w:hint="eastAsia" w:ascii="黑体" w:hAnsi="黑体" w:eastAsia="黑体"/>
                <w:spacing w:val="4"/>
                <w:sz w:val="18"/>
                <w:szCs w:val="18"/>
              </w:rPr>
            </w:pPr>
            <w:r>
              <w:rPr>
                <w:rFonts w:hint="eastAsia" w:ascii="黑体" w:hAnsi="黑体" w:eastAsia="黑体"/>
                <w:spacing w:val="4"/>
                <w:kern w:val="0"/>
                <w:sz w:val="18"/>
                <w:szCs w:val="18"/>
              </w:rPr>
              <w:t>基础设施情况</w:t>
            </w:r>
          </w:p>
        </w:tc>
        <w:tc>
          <w:tcPr>
            <w:tcW w:w="2294" w:type="dxa"/>
            <w:tcBorders>
              <w:top w:val="single" w:color="auto" w:sz="6" w:space="0"/>
              <w:left w:val="single" w:color="auto" w:sz="6"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02A20F13">
            <w:pPr>
              <w:widowControl/>
              <w:adjustRightInd/>
              <w:spacing w:line="360" w:lineRule="atLeast"/>
              <w:ind w:left="-199" w:leftChars="-95"/>
              <w:jc w:val="center"/>
              <w:textAlignment w:val="center"/>
              <w:rPr>
                <w:rFonts w:hint="eastAsia" w:ascii="宋体" w:hAnsi="宋体"/>
                <w:spacing w:val="4"/>
                <w:sz w:val="18"/>
                <w:szCs w:val="18"/>
              </w:rPr>
            </w:pPr>
            <w:r>
              <w:rPr>
                <w:rFonts w:hint="eastAsia" w:ascii="宋体" w:hAnsi="宋体"/>
                <w:spacing w:val="4"/>
                <w:kern w:val="0"/>
                <w:sz w:val="18"/>
                <w:szCs w:val="18"/>
              </w:rPr>
              <w:t>种植区 [有/无]</w:t>
            </w:r>
          </w:p>
        </w:tc>
        <w:tc>
          <w:tcPr>
            <w:tcW w:w="2295" w:type="dxa"/>
            <w:gridSpan w:val="2"/>
            <w:tcBorders>
              <w:top w:val="single" w:color="auto" w:sz="6" w:space="0"/>
              <w:left w:val="single" w:color="auto" w:sz="6"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1E290107">
            <w:pPr>
              <w:widowControl/>
              <w:adjustRightInd/>
              <w:spacing w:line="360" w:lineRule="atLeast"/>
              <w:jc w:val="left"/>
              <w:textAlignment w:val="center"/>
              <w:rPr>
                <w:rFonts w:hint="eastAsia" w:ascii="宋体" w:hAnsi="宋体"/>
                <w:spacing w:val="4"/>
                <w:sz w:val="18"/>
                <w:szCs w:val="18"/>
              </w:rPr>
            </w:pPr>
            <w:r>
              <w:rPr>
                <w:rFonts w:hint="eastAsia" w:ascii="宋体" w:hAnsi="宋体"/>
                <w:spacing w:val="4"/>
                <w:kern w:val="0"/>
                <w:sz w:val="18"/>
                <w:szCs w:val="18"/>
              </w:rPr>
              <w:t>灌溉系统 [有/无]</w:t>
            </w:r>
          </w:p>
        </w:tc>
        <w:tc>
          <w:tcPr>
            <w:tcW w:w="2884" w:type="dxa"/>
            <w:tcBorders>
              <w:top w:val="single" w:color="auto" w:sz="6" w:space="0"/>
              <w:left w:val="single" w:color="auto" w:sz="6" w:space="0"/>
              <w:bottom w:val="single" w:color="auto" w:sz="6" w:space="0"/>
              <w:right w:val="single" w:color="auto" w:sz="12" w:space="0"/>
            </w:tcBorders>
            <w:shd w:val="clear" w:color="auto" w:fill="FFFFFF"/>
            <w:tcMar>
              <w:top w:w="180" w:type="dxa"/>
              <w:left w:w="240" w:type="dxa"/>
              <w:bottom w:w="180" w:type="dxa"/>
              <w:right w:w="240" w:type="dxa"/>
            </w:tcMar>
            <w:vAlign w:val="center"/>
          </w:tcPr>
          <w:p w14:paraId="26193B12">
            <w:pPr>
              <w:widowControl/>
              <w:adjustRightInd/>
              <w:spacing w:line="360" w:lineRule="atLeast"/>
              <w:jc w:val="left"/>
              <w:textAlignment w:val="center"/>
              <w:rPr>
                <w:rFonts w:hint="eastAsia" w:ascii="宋体" w:hAnsi="宋体"/>
                <w:spacing w:val="4"/>
                <w:sz w:val="18"/>
                <w:szCs w:val="18"/>
              </w:rPr>
            </w:pPr>
            <w:r>
              <w:rPr>
                <w:rFonts w:hint="eastAsia" w:ascii="宋体" w:hAnsi="宋体"/>
                <w:spacing w:val="4"/>
                <w:kern w:val="0"/>
                <w:sz w:val="18"/>
                <w:szCs w:val="18"/>
              </w:rPr>
              <w:t>道路 [有/无]</w:t>
            </w:r>
          </w:p>
        </w:tc>
      </w:tr>
      <w:tr w14:paraId="6D6292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883" w:type="dxa"/>
            <w:tcBorders>
              <w:top w:val="single" w:color="auto" w:sz="6" w:space="0"/>
              <w:left w:val="single" w:color="auto" w:sz="12"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49725D41">
            <w:pPr>
              <w:widowControl/>
              <w:adjustRightInd/>
              <w:spacing w:line="360" w:lineRule="atLeast"/>
              <w:ind w:left="-199" w:leftChars="-95"/>
              <w:jc w:val="center"/>
              <w:textAlignment w:val="center"/>
              <w:rPr>
                <w:rFonts w:hint="eastAsia" w:ascii="黑体" w:hAnsi="黑体" w:eastAsia="黑体"/>
                <w:spacing w:val="4"/>
                <w:sz w:val="18"/>
                <w:szCs w:val="18"/>
              </w:rPr>
            </w:pPr>
            <w:r>
              <w:rPr>
                <w:rFonts w:hint="eastAsia" w:ascii="黑体" w:hAnsi="黑体" w:eastAsia="黑体"/>
                <w:spacing w:val="4"/>
                <w:kern w:val="0"/>
                <w:sz w:val="18"/>
                <w:szCs w:val="18"/>
              </w:rPr>
              <w:t>生态环保措施</w:t>
            </w:r>
          </w:p>
        </w:tc>
        <w:tc>
          <w:tcPr>
            <w:tcW w:w="3464" w:type="dxa"/>
            <w:gridSpan w:val="2"/>
            <w:tcBorders>
              <w:top w:val="single" w:color="auto" w:sz="6" w:space="0"/>
              <w:left w:val="single" w:color="auto" w:sz="6"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43705271">
            <w:pPr>
              <w:widowControl/>
              <w:adjustRightInd/>
              <w:spacing w:line="360" w:lineRule="atLeast"/>
              <w:ind w:left="-199" w:leftChars="-95"/>
              <w:jc w:val="center"/>
              <w:textAlignment w:val="center"/>
              <w:rPr>
                <w:rFonts w:hint="eastAsia" w:ascii="宋体" w:hAnsi="宋体"/>
                <w:spacing w:val="4"/>
                <w:sz w:val="18"/>
                <w:szCs w:val="18"/>
              </w:rPr>
            </w:pPr>
            <w:r>
              <w:rPr>
                <w:rFonts w:hint="eastAsia" w:ascii="宋体" w:hAnsi="宋体"/>
                <w:spacing w:val="4"/>
                <w:kern w:val="0"/>
                <w:sz w:val="18"/>
                <w:szCs w:val="18"/>
              </w:rPr>
              <w:t>采用有机种植 [是/否]</w:t>
            </w:r>
          </w:p>
        </w:tc>
        <w:tc>
          <w:tcPr>
            <w:tcW w:w="4009" w:type="dxa"/>
            <w:gridSpan w:val="2"/>
            <w:tcBorders>
              <w:top w:val="single" w:color="auto" w:sz="6" w:space="0"/>
              <w:left w:val="single" w:color="auto" w:sz="6" w:space="0"/>
              <w:bottom w:val="single" w:color="auto" w:sz="6" w:space="0"/>
              <w:right w:val="single" w:color="auto" w:sz="12" w:space="0"/>
            </w:tcBorders>
            <w:shd w:val="clear" w:color="auto" w:fill="FFFFFF"/>
            <w:tcMar>
              <w:top w:w="180" w:type="dxa"/>
              <w:left w:w="240" w:type="dxa"/>
              <w:bottom w:w="180" w:type="dxa"/>
              <w:right w:w="240" w:type="dxa"/>
            </w:tcMar>
            <w:vAlign w:val="center"/>
          </w:tcPr>
          <w:p w14:paraId="47178BFF">
            <w:pPr>
              <w:adjustRightInd/>
              <w:spacing w:line="240" w:lineRule="auto"/>
              <w:rPr>
                <w:rFonts w:hint="eastAsia" w:ascii="宋体" w:hAnsi="宋体"/>
                <w:spacing w:val="8"/>
                <w:sz w:val="18"/>
                <w:szCs w:val="18"/>
              </w:rPr>
            </w:pPr>
            <w:r>
              <w:rPr>
                <w:rFonts w:hint="eastAsia" w:ascii="宋体" w:hAnsi="宋体"/>
                <w:spacing w:val="4"/>
                <w:kern w:val="0"/>
                <w:sz w:val="18"/>
                <w:szCs w:val="18"/>
              </w:rPr>
              <w:t>建立资源循环利用体系 [是/否]</w:t>
            </w:r>
          </w:p>
        </w:tc>
      </w:tr>
      <w:tr w14:paraId="228FA0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883" w:type="dxa"/>
            <w:vMerge w:val="restart"/>
            <w:tcBorders>
              <w:top w:val="single" w:color="auto" w:sz="6" w:space="0"/>
              <w:left w:val="single" w:color="auto" w:sz="12" w:space="0"/>
              <w:right w:val="single" w:color="auto" w:sz="6" w:space="0"/>
            </w:tcBorders>
            <w:shd w:val="clear" w:color="auto" w:fill="FFFFFF"/>
            <w:tcMar>
              <w:top w:w="180" w:type="dxa"/>
              <w:left w:w="240" w:type="dxa"/>
              <w:bottom w:w="180" w:type="dxa"/>
              <w:right w:w="240" w:type="dxa"/>
            </w:tcMar>
            <w:vAlign w:val="center"/>
          </w:tcPr>
          <w:p w14:paraId="799727F2">
            <w:pPr>
              <w:widowControl/>
              <w:adjustRightInd/>
              <w:spacing w:line="360" w:lineRule="atLeast"/>
              <w:ind w:left="-199" w:leftChars="-95"/>
              <w:jc w:val="center"/>
              <w:textAlignment w:val="center"/>
              <w:rPr>
                <w:rFonts w:hint="eastAsia" w:ascii="黑体" w:hAnsi="黑体" w:eastAsia="黑体"/>
                <w:spacing w:val="4"/>
                <w:sz w:val="18"/>
                <w:szCs w:val="18"/>
              </w:rPr>
            </w:pPr>
            <w:r>
              <w:rPr>
                <w:rFonts w:hint="eastAsia" w:ascii="黑体" w:hAnsi="黑体" w:eastAsia="黑体"/>
                <w:spacing w:val="4"/>
                <w:kern w:val="0"/>
                <w:sz w:val="18"/>
                <w:szCs w:val="18"/>
              </w:rPr>
              <w:t>技术创新情况</w:t>
            </w:r>
          </w:p>
        </w:tc>
        <w:tc>
          <w:tcPr>
            <w:tcW w:w="3464" w:type="dxa"/>
            <w:gridSpan w:val="2"/>
            <w:tcBorders>
              <w:top w:val="single" w:color="auto" w:sz="6" w:space="0"/>
              <w:left w:val="single" w:color="auto" w:sz="6" w:space="0"/>
              <w:bottom w:val="single" w:color="auto" w:sz="6" w:space="0"/>
              <w:right w:val="single" w:color="auto" w:sz="6" w:space="0"/>
            </w:tcBorders>
            <w:shd w:val="clear" w:color="auto" w:fill="FFFFFF"/>
            <w:tcMar>
              <w:top w:w="180" w:type="dxa"/>
              <w:left w:w="240" w:type="dxa"/>
              <w:bottom w:w="180" w:type="dxa"/>
              <w:right w:w="240" w:type="dxa"/>
            </w:tcMar>
            <w:vAlign w:val="center"/>
          </w:tcPr>
          <w:p w14:paraId="36E46779">
            <w:pPr>
              <w:widowControl/>
              <w:adjustRightInd/>
              <w:spacing w:line="360" w:lineRule="atLeast"/>
              <w:ind w:left="-199" w:leftChars="-95"/>
              <w:jc w:val="center"/>
              <w:textAlignment w:val="center"/>
              <w:rPr>
                <w:rFonts w:hint="eastAsia" w:ascii="宋体" w:hAnsi="宋体"/>
                <w:spacing w:val="4"/>
                <w:sz w:val="18"/>
                <w:szCs w:val="18"/>
              </w:rPr>
            </w:pPr>
            <w:r>
              <w:rPr>
                <w:rFonts w:hint="eastAsia" w:ascii="宋体" w:hAnsi="宋体"/>
                <w:spacing w:val="4"/>
                <w:kern w:val="0"/>
                <w:sz w:val="18"/>
                <w:szCs w:val="18"/>
              </w:rPr>
              <w:t>进行品种改良 [是/否]</w:t>
            </w:r>
          </w:p>
        </w:tc>
        <w:tc>
          <w:tcPr>
            <w:tcW w:w="4009" w:type="dxa"/>
            <w:gridSpan w:val="2"/>
            <w:tcBorders>
              <w:top w:val="single" w:color="auto" w:sz="6" w:space="0"/>
              <w:left w:val="single" w:color="auto" w:sz="6" w:space="0"/>
              <w:bottom w:val="single" w:color="auto" w:sz="6" w:space="0"/>
              <w:right w:val="single" w:color="auto" w:sz="12" w:space="0"/>
            </w:tcBorders>
            <w:shd w:val="clear" w:color="auto" w:fill="FFFFFF"/>
            <w:tcMar>
              <w:top w:w="180" w:type="dxa"/>
              <w:left w:w="240" w:type="dxa"/>
              <w:bottom w:w="180" w:type="dxa"/>
              <w:right w:w="240" w:type="dxa"/>
            </w:tcMar>
            <w:vAlign w:val="center"/>
          </w:tcPr>
          <w:p w14:paraId="736270D5">
            <w:pPr>
              <w:adjustRightInd/>
              <w:spacing w:line="240" w:lineRule="auto"/>
              <w:rPr>
                <w:rFonts w:hint="eastAsia" w:ascii="宋体" w:hAnsi="宋体"/>
                <w:spacing w:val="8"/>
                <w:sz w:val="18"/>
                <w:szCs w:val="18"/>
              </w:rPr>
            </w:pPr>
            <w:r>
              <w:rPr>
                <w:rFonts w:hint="eastAsia" w:ascii="宋体" w:hAnsi="宋体"/>
                <w:spacing w:val="4"/>
                <w:kern w:val="0"/>
                <w:sz w:val="18"/>
                <w:szCs w:val="18"/>
              </w:rPr>
              <w:t>采用节水灌溉技术 [是/否]</w:t>
            </w:r>
          </w:p>
        </w:tc>
      </w:tr>
      <w:tr w14:paraId="0327B5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883" w:type="dxa"/>
            <w:vMerge w:val="continue"/>
            <w:tcBorders>
              <w:left w:val="single" w:color="auto" w:sz="12" w:space="0"/>
              <w:bottom w:val="single" w:color="auto" w:sz="12" w:space="0"/>
              <w:right w:val="single" w:color="auto" w:sz="6" w:space="0"/>
            </w:tcBorders>
            <w:shd w:val="clear" w:color="auto" w:fill="FFFFFF"/>
            <w:tcMar>
              <w:top w:w="180" w:type="dxa"/>
              <w:left w:w="240" w:type="dxa"/>
              <w:bottom w:w="180" w:type="dxa"/>
              <w:right w:w="240" w:type="dxa"/>
            </w:tcMar>
            <w:vAlign w:val="center"/>
          </w:tcPr>
          <w:p w14:paraId="7B0B4C64">
            <w:pPr>
              <w:widowControl/>
              <w:adjustRightInd/>
              <w:spacing w:line="360" w:lineRule="atLeast"/>
              <w:ind w:left="-199" w:leftChars="-95"/>
              <w:jc w:val="center"/>
              <w:textAlignment w:val="center"/>
              <w:rPr>
                <w:rFonts w:hint="eastAsia" w:ascii="黑体" w:hAnsi="黑体" w:eastAsia="黑体"/>
                <w:spacing w:val="4"/>
                <w:kern w:val="0"/>
                <w:sz w:val="18"/>
                <w:szCs w:val="18"/>
              </w:rPr>
            </w:pPr>
            <w:bookmarkStart w:id="157" w:name="_Toc191227308"/>
            <w:bookmarkStart w:id="158" w:name="_Toc191227028"/>
          </w:p>
        </w:tc>
        <w:tc>
          <w:tcPr>
            <w:tcW w:w="3464" w:type="dxa"/>
            <w:gridSpan w:val="2"/>
            <w:tcBorders>
              <w:top w:val="single" w:color="auto" w:sz="6" w:space="0"/>
              <w:left w:val="single" w:color="auto" w:sz="6" w:space="0"/>
              <w:bottom w:val="single" w:color="auto" w:sz="12" w:space="0"/>
              <w:right w:val="single" w:color="auto" w:sz="6" w:space="0"/>
            </w:tcBorders>
            <w:shd w:val="clear" w:color="auto" w:fill="FFFFFF"/>
            <w:tcMar>
              <w:top w:w="180" w:type="dxa"/>
              <w:left w:w="240" w:type="dxa"/>
              <w:bottom w:w="180" w:type="dxa"/>
              <w:right w:w="240" w:type="dxa"/>
            </w:tcMar>
            <w:vAlign w:val="center"/>
          </w:tcPr>
          <w:p w14:paraId="7B7E98C0">
            <w:pPr>
              <w:widowControl/>
              <w:adjustRightInd/>
              <w:spacing w:line="360" w:lineRule="atLeast"/>
              <w:ind w:left="-199" w:leftChars="-95"/>
              <w:jc w:val="center"/>
              <w:textAlignment w:val="center"/>
              <w:rPr>
                <w:rFonts w:hint="eastAsia" w:ascii="宋体" w:hAnsi="宋体"/>
                <w:spacing w:val="4"/>
                <w:kern w:val="0"/>
                <w:sz w:val="18"/>
                <w:szCs w:val="18"/>
              </w:rPr>
            </w:pPr>
            <w:r>
              <w:rPr>
                <w:rFonts w:hint="eastAsia" w:ascii="宋体" w:hAnsi="宋体"/>
                <w:spacing w:val="4"/>
                <w:kern w:val="0"/>
                <w:sz w:val="18"/>
                <w:szCs w:val="18"/>
              </w:rPr>
              <w:t>获得知识产权 [种类和数量]</w:t>
            </w:r>
          </w:p>
        </w:tc>
        <w:tc>
          <w:tcPr>
            <w:tcW w:w="4009" w:type="dxa"/>
            <w:gridSpan w:val="2"/>
            <w:tcBorders>
              <w:top w:val="single" w:color="auto" w:sz="6" w:space="0"/>
              <w:left w:val="single" w:color="auto" w:sz="6" w:space="0"/>
              <w:bottom w:val="single" w:color="auto" w:sz="12" w:space="0"/>
              <w:right w:val="single" w:color="auto" w:sz="12" w:space="0"/>
            </w:tcBorders>
            <w:shd w:val="clear" w:color="auto" w:fill="FFFFFF"/>
            <w:tcMar>
              <w:top w:w="180" w:type="dxa"/>
              <w:left w:w="240" w:type="dxa"/>
              <w:bottom w:w="180" w:type="dxa"/>
              <w:right w:w="240" w:type="dxa"/>
            </w:tcMar>
            <w:vAlign w:val="center"/>
          </w:tcPr>
          <w:p w14:paraId="42B70AD7">
            <w:pPr>
              <w:adjustRightInd/>
              <w:spacing w:line="240" w:lineRule="auto"/>
              <w:jc w:val="center"/>
              <w:rPr>
                <w:rFonts w:hint="eastAsia" w:ascii="宋体" w:hAnsi="宋体"/>
                <w:spacing w:val="4"/>
                <w:kern w:val="0"/>
                <w:sz w:val="18"/>
                <w:szCs w:val="18"/>
              </w:rPr>
            </w:pPr>
            <w:r>
              <w:rPr>
                <w:rFonts w:hint="eastAsia" w:ascii="宋体" w:hAnsi="宋体"/>
                <w:spacing w:val="4"/>
                <w:kern w:val="0"/>
                <w:sz w:val="18"/>
                <w:szCs w:val="18"/>
              </w:rPr>
              <w:t>参与标准编制 [种类和数量]</w:t>
            </w:r>
          </w:p>
        </w:tc>
      </w:tr>
    </w:tbl>
    <w:p w14:paraId="255D1A85">
      <w:pPr>
        <w:pStyle w:val="60"/>
        <w:ind w:firstLine="420"/>
        <w:rPr>
          <w:shd w:val="clear" w:color="auto" w:fill="FFFFFF"/>
        </w:rPr>
      </w:pPr>
    </w:p>
    <w:p w14:paraId="7FCF1E22">
      <w:pPr>
        <w:pStyle w:val="82"/>
        <w:spacing w:before="120" w:after="120"/>
        <w:rPr>
          <w:shd w:val="clear" w:color="auto" w:fill="FFFFFF"/>
        </w:rPr>
      </w:pPr>
      <w:r>
        <w:rPr>
          <w:shd w:val="clear" w:color="auto" w:fill="FFFFFF"/>
        </w:rPr>
        <w:t>评价申请表---自我评价报告</w:t>
      </w:r>
      <w:bookmarkEnd w:id="157"/>
      <w:bookmarkEnd w:id="158"/>
    </w:p>
    <w:p w14:paraId="47C3E993">
      <w:pPr>
        <w:pStyle w:val="60"/>
        <w:ind w:firstLine="420"/>
        <w:rPr>
          <w:shd w:val="clear" w:color="auto" w:fill="FFFFFF"/>
        </w:rPr>
      </w:pPr>
      <w:r>
        <w:rPr>
          <w:shd w:val="clear" w:color="auto" w:fill="FFFFFF"/>
        </w:rPr>
        <w:t>表</w:t>
      </w:r>
      <w:r>
        <w:rPr>
          <w:rFonts w:hAnsi="宋体"/>
          <w:shd w:val="clear" w:color="auto" w:fill="FFFFFF"/>
        </w:rPr>
        <w:t>A.3</w:t>
      </w:r>
      <w:r>
        <w:rPr>
          <w:shd w:val="clear" w:color="auto" w:fill="FFFFFF"/>
        </w:rPr>
        <w:t>规定了兴隆咖啡种植基地评价申请表--自我评价报告。</w:t>
      </w:r>
    </w:p>
    <w:p w14:paraId="41E4838B">
      <w:pPr>
        <w:widowControl/>
        <w:shd w:val="clear" w:color="auto" w:fill="FFFFFF"/>
        <w:adjustRightInd/>
        <w:spacing w:line="360" w:lineRule="atLeast"/>
        <w:ind w:firstLine="2180" w:firstLineChars="1000"/>
        <w:jc w:val="left"/>
        <w:textAlignment w:val="baseline"/>
        <w:rPr>
          <w:rFonts w:hint="eastAsia" w:ascii="黑体" w:hAnsi="黑体" w:eastAsia="黑体" w:cs="黑体"/>
          <w:color w:val="060607"/>
          <w:spacing w:val="4"/>
          <w:kern w:val="0"/>
          <w:shd w:val="clear" w:color="auto" w:fill="FFFFFF"/>
        </w:rPr>
      </w:pPr>
      <w:r>
        <w:rPr>
          <w:rFonts w:hint="eastAsia" w:ascii="黑体" w:hAnsi="黑体" w:eastAsia="黑体" w:cs="黑体"/>
          <w:color w:val="060607"/>
          <w:spacing w:val="4"/>
          <w:kern w:val="0"/>
          <w:shd w:val="clear" w:color="auto" w:fill="FFFFFF"/>
        </w:rPr>
        <w:t>表A.3评价申请表---自我评价报告</w:t>
      </w:r>
    </w:p>
    <w:p w14:paraId="76974ED9">
      <w:pPr>
        <w:widowControl/>
        <w:shd w:val="clear" w:color="auto" w:fill="FFFFFF"/>
        <w:adjustRightInd/>
        <w:spacing w:line="360" w:lineRule="atLeast"/>
        <w:ind w:firstLine="2180" w:firstLineChars="1000"/>
        <w:jc w:val="left"/>
        <w:textAlignment w:val="baseline"/>
        <w:rPr>
          <w:rFonts w:hint="eastAsia" w:ascii="黑体" w:hAnsi="黑体" w:eastAsia="黑体" w:cs="黑体"/>
          <w:color w:val="060607"/>
          <w:spacing w:val="4"/>
          <w:kern w:val="0"/>
          <w:shd w:val="clear" w:color="auto" w:fill="FFFFFF"/>
        </w:rPr>
      </w:pPr>
    </w:p>
    <w:tbl>
      <w:tblPr>
        <w:tblStyle w:val="29"/>
        <w:tblW w:w="9268" w:type="dxa"/>
        <w:tblInd w:w="-13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888"/>
        <w:gridCol w:w="6380"/>
      </w:tblGrid>
      <w:tr w14:paraId="260D6F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12"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25B8D57E">
            <w:pPr>
              <w:widowControl/>
              <w:adjustRightInd/>
              <w:spacing w:line="360" w:lineRule="atLeast"/>
              <w:jc w:val="center"/>
              <w:textAlignment w:val="center"/>
              <w:rPr>
                <w:rFonts w:hint="eastAsia" w:ascii="黑体" w:hAnsi="黑体" w:eastAsia="黑体"/>
                <w:spacing w:val="8"/>
                <w:sz w:val="18"/>
                <w:szCs w:val="18"/>
              </w:rPr>
            </w:pPr>
            <w:r>
              <w:rPr>
                <w:rFonts w:hint="eastAsia" w:ascii="黑体" w:hAnsi="黑体" w:eastAsia="黑体"/>
                <w:spacing w:val="8"/>
                <w:kern w:val="0"/>
                <w:sz w:val="18"/>
                <w:szCs w:val="18"/>
              </w:rPr>
              <w:t>自我评价内容</w:t>
            </w:r>
          </w:p>
        </w:tc>
        <w:tc>
          <w:tcPr>
            <w:tcW w:w="6380" w:type="dxa"/>
            <w:tcBorders>
              <w:top w:val="single" w:color="auto" w:sz="12"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3EE30396">
            <w:pPr>
              <w:widowControl/>
              <w:adjustRightInd/>
              <w:spacing w:line="360" w:lineRule="atLeast"/>
              <w:jc w:val="center"/>
              <w:textAlignment w:val="center"/>
              <w:rPr>
                <w:rFonts w:hint="eastAsia" w:ascii="黑体" w:hAnsi="黑体" w:eastAsia="黑体"/>
                <w:spacing w:val="8"/>
                <w:sz w:val="18"/>
                <w:szCs w:val="18"/>
              </w:rPr>
            </w:pPr>
            <w:r>
              <w:rPr>
                <w:rFonts w:hint="eastAsia" w:ascii="黑体" w:hAnsi="黑体" w:eastAsia="黑体"/>
                <w:spacing w:val="8"/>
                <w:kern w:val="0"/>
                <w:sz w:val="18"/>
                <w:szCs w:val="18"/>
              </w:rPr>
              <w:t>评价结果</w:t>
            </w:r>
          </w:p>
        </w:tc>
      </w:tr>
      <w:tr w14:paraId="4C88D8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6C8AC5A9">
            <w:pPr>
              <w:widowControl/>
              <w:adjustRightInd/>
              <w:spacing w:line="360" w:lineRule="atLeast"/>
              <w:jc w:val="left"/>
              <w:textAlignment w:val="center"/>
              <w:rPr>
                <w:rFonts w:hint="eastAsia" w:ascii="黑体" w:hAnsi="黑体" w:eastAsia="黑体"/>
                <w:spacing w:val="4"/>
                <w:sz w:val="18"/>
                <w:szCs w:val="18"/>
              </w:rPr>
            </w:pPr>
            <w:r>
              <w:rPr>
                <w:rFonts w:hint="eastAsia" w:ascii="黑体" w:hAnsi="黑体" w:eastAsia="黑体"/>
                <w:spacing w:val="4"/>
                <w:kern w:val="0"/>
                <w:sz w:val="18"/>
                <w:szCs w:val="18"/>
              </w:rPr>
              <w:t>符合规划与土地利用协调</w:t>
            </w:r>
          </w:p>
        </w:tc>
        <w:tc>
          <w:tcPr>
            <w:tcW w:w="6380" w:type="dxa"/>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22CDCEF2">
            <w:pPr>
              <w:widowControl/>
              <w:adjustRightInd/>
              <w:spacing w:line="360" w:lineRule="atLeast"/>
              <w:jc w:val="left"/>
              <w:textAlignment w:val="center"/>
              <w:rPr>
                <w:rFonts w:hint="eastAsia" w:ascii="宋体" w:hAnsi="宋体"/>
                <w:spacing w:val="4"/>
                <w:kern w:val="0"/>
                <w:sz w:val="18"/>
                <w:szCs w:val="18"/>
              </w:rPr>
            </w:pPr>
            <w:r>
              <w:rPr>
                <w:rFonts w:hint="eastAsia" w:ascii="宋体" w:hAnsi="宋体"/>
                <w:spacing w:val="4"/>
                <w:kern w:val="0"/>
                <w:sz w:val="18"/>
                <w:szCs w:val="18"/>
              </w:rPr>
              <w:t>[简要描述]</w:t>
            </w:r>
          </w:p>
        </w:tc>
      </w:tr>
      <w:tr w14:paraId="240AFD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38F13358">
            <w:pPr>
              <w:widowControl/>
              <w:adjustRightInd/>
              <w:spacing w:line="360" w:lineRule="atLeast"/>
              <w:jc w:val="left"/>
              <w:textAlignment w:val="center"/>
              <w:rPr>
                <w:rFonts w:hint="eastAsia" w:ascii="黑体" w:hAnsi="黑体" w:eastAsia="黑体"/>
                <w:spacing w:val="4"/>
                <w:sz w:val="18"/>
                <w:szCs w:val="18"/>
              </w:rPr>
            </w:pPr>
            <w:r>
              <w:rPr>
                <w:rFonts w:hint="eastAsia" w:ascii="黑体" w:hAnsi="黑体" w:eastAsia="黑体"/>
                <w:spacing w:val="4"/>
                <w:kern w:val="0"/>
                <w:sz w:val="18"/>
                <w:szCs w:val="18"/>
              </w:rPr>
              <w:t>因地制宜与适应性改良</w:t>
            </w:r>
          </w:p>
        </w:tc>
        <w:tc>
          <w:tcPr>
            <w:tcW w:w="6380" w:type="dxa"/>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184B83C6">
            <w:pPr>
              <w:widowControl/>
              <w:adjustRightInd/>
              <w:spacing w:line="360" w:lineRule="atLeast"/>
              <w:jc w:val="left"/>
              <w:textAlignment w:val="center"/>
              <w:rPr>
                <w:rFonts w:hint="eastAsia" w:ascii="宋体" w:hAnsi="宋体"/>
                <w:spacing w:val="4"/>
                <w:kern w:val="0"/>
                <w:sz w:val="18"/>
                <w:szCs w:val="18"/>
              </w:rPr>
            </w:pPr>
            <w:r>
              <w:rPr>
                <w:rFonts w:hint="eastAsia" w:ascii="宋体" w:hAnsi="宋体"/>
                <w:spacing w:val="4"/>
                <w:kern w:val="0"/>
                <w:sz w:val="18"/>
                <w:szCs w:val="18"/>
              </w:rPr>
              <w:t>[简要描述]</w:t>
            </w:r>
          </w:p>
        </w:tc>
      </w:tr>
      <w:tr w14:paraId="45566E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54A7196D">
            <w:pPr>
              <w:widowControl/>
              <w:adjustRightInd/>
              <w:spacing w:line="360" w:lineRule="atLeast"/>
              <w:jc w:val="left"/>
              <w:textAlignment w:val="center"/>
              <w:rPr>
                <w:rFonts w:hint="eastAsia" w:ascii="黑体" w:hAnsi="黑体" w:eastAsia="黑体"/>
                <w:spacing w:val="4"/>
                <w:sz w:val="18"/>
                <w:szCs w:val="18"/>
              </w:rPr>
            </w:pPr>
            <w:r>
              <w:rPr>
                <w:rFonts w:hint="eastAsia" w:ascii="黑体" w:hAnsi="黑体" w:eastAsia="黑体"/>
                <w:spacing w:val="4"/>
                <w:kern w:val="0"/>
                <w:sz w:val="18"/>
                <w:szCs w:val="18"/>
              </w:rPr>
              <w:t>设施适配与气候匹配</w:t>
            </w:r>
          </w:p>
        </w:tc>
        <w:tc>
          <w:tcPr>
            <w:tcW w:w="6380" w:type="dxa"/>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2987445D">
            <w:pPr>
              <w:widowControl/>
              <w:adjustRightInd/>
              <w:spacing w:line="360" w:lineRule="atLeast"/>
              <w:jc w:val="left"/>
              <w:textAlignment w:val="center"/>
              <w:rPr>
                <w:rFonts w:hint="eastAsia" w:ascii="宋体" w:hAnsi="宋体"/>
                <w:spacing w:val="4"/>
                <w:kern w:val="0"/>
                <w:sz w:val="18"/>
                <w:szCs w:val="18"/>
              </w:rPr>
            </w:pPr>
            <w:r>
              <w:rPr>
                <w:rFonts w:hint="eastAsia" w:ascii="宋体" w:hAnsi="宋体"/>
                <w:spacing w:val="4"/>
                <w:kern w:val="0"/>
                <w:sz w:val="18"/>
                <w:szCs w:val="18"/>
              </w:rPr>
              <w:t>[简要描述]</w:t>
            </w:r>
          </w:p>
        </w:tc>
      </w:tr>
      <w:tr w14:paraId="33AB66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1FD98EEC">
            <w:pPr>
              <w:widowControl/>
              <w:adjustRightInd/>
              <w:spacing w:line="360" w:lineRule="atLeast"/>
              <w:jc w:val="left"/>
              <w:textAlignment w:val="center"/>
              <w:rPr>
                <w:rFonts w:hint="eastAsia" w:ascii="黑体" w:hAnsi="黑体" w:eastAsia="黑体"/>
                <w:spacing w:val="4"/>
                <w:sz w:val="18"/>
                <w:szCs w:val="18"/>
              </w:rPr>
            </w:pPr>
            <w:r>
              <w:rPr>
                <w:rFonts w:hint="eastAsia" w:ascii="黑体" w:hAnsi="黑体" w:eastAsia="黑体"/>
                <w:spacing w:val="4"/>
                <w:kern w:val="0"/>
                <w:sz w:val="18"/>
                <w:szCs w:val="18"/>
              </w:rPr>
              <w:t>生态环保与资源循环利用</w:t>
            </w:r>
          </w:p>
        </w:tc>
        <w:tc>
          <w:tcPr>
            <w:tcW w:w="6380" w:type="dxa"/>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784CC195">
            <w:pPr>
              <w:widowControl/>
              <w:adjustRightInd/>
              <w:spacing w:line="360" w:lineRule="atLeast"/>
              <w:jc w:val="left"/>
              <w:textAlignment w:val="center"/>
              <w:rPr>
                <w:rFonts w:hint="eastAsia" w:ascii="宋体" w:hAnsi="宋体"/>
                <w:spacing w:val="4"/>
                <w:kern w:val="0"/>
                <w:sz w:val="18"/>
                <w:szCs w:val="18"/>
              </w:rPr>
            </w:pPr>
            <w:r>
              <w:rPr>
                <w:rFonts w:hint="eastAsia" w:ascii="宋体" w:hAnsi="宋体"/>
                <w:spacing w:val="4"/>
                <w:kern w:val="0"/>
                <w:sz w:val="18"/>
                <w:szCs w:val="18"/>
              </w:rPr>
              <w:t>[简要描述]</w:t>
            </w:r>
          </w:p>
        </w:tc>
      </w:tr>
      <w:tr w14:paraId="39A481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51924DEF">
            <w:pPr>
              <w:widowControl/>
              <w:adjustRightInd/>
              <w:spacing w:line="360" w:lineRule="atLeast"/>
              <w:jc w:val="left"/>
              <w:textAlignment w:val="center"/>
              <w:rPr>
                <w:rFonts w:hint="eastAsia" w:ascii="黑体" w:hAnsi="黑体" w:eastAsia="黑体"/>
                <w:spacing w:val="4"/>
                <w:sz w:val="18"/>
                <w:szCs w:val="18"/>
              </w:rPr>
            </w:pPr>
            <w:r>
              <w:rPr>
                <w:rFonts w:hint="eastAsia" w:ascii="黑体" w:hAnsi="黑体" w:eastAsia="黑体"/>
                <w:spacing w:val="4"/>
                <w:kern w:val="0"/>
                <w:sz w:val="18"/>
                <w:szCs w:val="18"/>
              </w:rPr>
              <w:t>统筹布局与高效利用空间</w:t>
            </w:r>
          </w:p>
        </w:tc>
        <w:tc>
          <w:tcPr>
            <w:tcW w:w="6380" w:type="dxa"/>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74C4B6C4">
            <w:pPr>
              <w:widowControl/>
              <w:adjustRightInd/>
              <w:spacing w:line="360" w:lineRule="atLeast"/>
              <w:jc w:val="left"/>
              <w:textAlignment w:val="center"/>
              <w:rPr>
                <w:rFonts w:hint="eastAsia" w:ascii="宋体" w:hAnsi="宋体"/>
                <w:spacing w:val="4"/>
                <w:kern w:val="0"/>
                <w:sz w:val="18"/>
                <w:szCs w:val="18"/>
              </w:rPr>
            </w:pPr>
            <w:r>
              <w:rPr>
                <w:rFonts w:hint="eastAsia" w:ascii="宋体" w:hAnsi="宋体"/>
                <w:spacing w:val="4"/>
                <w:kern w:val="0"/>
                <w:sz w:val="18"/>
                <w:szCs w:val="18"/>
              </w:rPr>
              <w:t>[简要描述]</w:t>
            </w:r>
          </w:p>
        </w:tc>
      </w:tr>
      <w:tr w14:paraId="557443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4" w:space="0"/>
              <w:left w:val="single" w:color="auto" w:sz="12" w:space="0"/>
              <w:bottom w:val="single" w:color="auto" w:sz="4" w:space="0"/>
              <w:right w:val="single" w:color="auto" w:sz="4" w:space="0"/>
            </w:tcBorders>
            <w:shd w:val="clear" w:color="auto" w:fill="FFFFFF"/>
            <w:tcMar>
              <w:top w:w="180" w:type="dxa"/>
              <w:left w:w="240" w:type="dxa"/>
              <w:bottom w:w="180" w:type="dxa"/>
              <w:right w:w="240" w:type="dxa"/>
            </w:tcMar>
            <w:vAlign w:val="center"/>
          </w:tcPr>
          <w:p w14:paraId="7707098B">
            <w:pPr>
              <w:widowControl/>
              <w:adjustRightInd/>
              <w:spacing w:line="360" w:lineRule="atLeast"/>
              <w:jc w:val="left"/>
              <w:textAlignment w:val="center"/>
              <w:rPr>
                <w:rFonts w:hint="eastAsia" w:ascii="宋体" w:hAnsi="宋体"/>
                <w:spacing w:val="4"/>
                <w:sz w:val="18"/>
                <w:szCs w:val="18"/>
              </w:rPr>
            </w:pPr>
            <w:r>
              <w:rPr>
                <w:rFonts w:hint="eastAsia" w:ascii="黑体" w:hAnsi="黑体" w:eastAsia="黑体"/>
                <w:spacing w:val="4"/>
                <w:kern w:val="0"/>
                <w:sz w:val="18"/>
                <w:szCs w:val="18"/>
              </w:rPr>
              <w:t>资源节约与绿色发展</w:t>
            </w:r>
          </w:p>
        </w:tc>
        <w:tc>
          <w:tcPr>
            <w:tcW w:w="6380" w:type="dxa"/>
            <w:tcBorders>
              <w:top w:val="single" w:color="auto" w:sz="4" w:space="0"/>
              <w:left w:val="single" w:color="auto" w:sz="4" w:space="0"/>
              <w:bottom w:val="single" w:color="auto" w:sz="4" w:space="0"/>
              <w:right w:val="single" w:color="auto" w:sz="12" w:space="0"/>
            </w:tcBorders>
            <w:shd w:val="clear" w:color="auto" w:fill="FFFFFF"/>
            <w:tcMar>
              <w:top w:w="180" w:type="dxa"/>
              <w:left w:w="240" w:type="dxa"/>
              <w:bottom w:w="180" w:type="dxa"/>
              <w:right w:w="240" w:type="dxa"/>
            </w:tcMar>
            <w:vAlign w:val="center"/>
          </w:tcPr>
          <w:p w14:paraId="6406017F">
            <w:pPr>
              <w:widowControl/>
              <w:adjustRightInd/>
              <w:spacing w:line="360" w:lineRule="atLeast"/>
              <w:jc w:val="left"/>
              <w:textAlignment w:val="center"/>
              <w:rPr>
                <w:rFonts w:hint="eastAsia" w:ascii="宋体" w:hAnsi="宋体"/>
                <w:spacing w:val="4"/>
                <w:kern w:val="0"/>
                <w:sz w:val="18"/>
                <w:szCs w:val="18"/>
              </w:rPr>
            </w:pPr>
            <w:r>
              <w:rPr>
                <w:rFonts w:hint="eastAsia" w:ascii="宋体" w:hAnsi="宋体"/>
                <w:spacing w:val="4"/>
                <w:kern w:val="0"/>
                <w:sz w:val="18"/>
                <w:szCs w:val="18"/>
              </w:rPr>
              <w:t>[简要描述]</w:t>
            </w:r>
          </w:p>
        </w:tc>
      </w:tr>
      <w:tr w14:paraId="389692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0" w:type="auto"/>
            <w:tcBorders>
              <w:top w:val="single" w:color="auto" w:sz="4" w:space="0"/>
              <w:left w:val="single" w:color="auto" w:sz="12" w:space="0"/>
              <w:bottom w:val="single" w:color="auto" w:sz="12" w:space="0"/>
              <w:right w:val="single" w:color="auto" w:sz="4" w:space="0"/>
            </w:tcBorders>
            <w:shd w:val="clear" w:color="auto" w:fill="auto"/>
            <w:tcMar>
              <w:top w:w="180" w:type="dxa"/>
              <w:left w:w="240" w:type="dxa"/>
              <w:bottom w:w="180" w:type="dxa"/>
              <w:right w:w="240" w:type="dxa"/>
            </w:tcMar>
          </w:tcPr>
          <w:p w14:paraId="684D46BB">
            <w:pPr>
              <w:widowControl/>
              <w:adjustRightInd/>
              <w:spacing w:line="360" w:lineRule="atLeast"/>
              <w:jc w:val="center"/>
              <w:textAlignment w:val="center"/>
              <w:rPr>
                <w:rFonts w:hint="eastAsia" w:ascii="黑体" w:hAnsi="黑体" w:eastAsia="黑体"/>
                <w:spacing w:val="8"/>
                <w:kern w:val="0"/>
                <w:sz w:val="18"/>
                <w:szCs w:val="18"/>
              </w:rPr>
            </w:pPr>
            <w:r>
              <w:rPr>
                <w:rFonts w:hint="eastAsia" w:ascii="黑体" w:hAnsi="黑体" w:eastAsia="黑体"/>
                <w:spacing w:val="8"/>
                <w:kern w:val="0"/>
                <w:sz w:val="18"/>
                <w:szCs w:val="18"/>
              </w:rPr>
              <w:t>技术创新（种植专利和标准）</w:t>
            </w:r>
          </w:p>
        </w:tc>
        <w:tc>
          <w:tcPr>
            <w:tcW w:w="6380" w:type="dxa"/>
            <w:tcBorders>
              <w:top w:val="single" w:color="auto" w:sz="4" w:space="0"/>
              <w:left w:val="single" w:color="auto" w:sz="4" w:space="0"/>
              <w:bottom w:val="single" w:color="auto" w:sz="12" w:space="0"/>
              <w:right w:val="single" w:color="auto" w:sz="12" w:space="0"/>
            </w:tcBorders>
            <w:shd w:val="clear" w:color="auto" w:fill="FFFFFF"/>
            <w:tcMar>
              <w:top w:w="180" w:type="dxa"/>
              <w:left w:w="240" w:type="dxa"/>
              <w:bottom w:w="180" w:type="dxa"/>
              <w:right w:w="240" w:type="dxa"/>
            </w:tcMar>
            <w:vAlign w:val="center"/>
          </w:tcPr>
          <w:p w14:paraId="779F629A">
            <w:pPr>
              <w:widowControl/>
              <w:adjustRightInd/>
              <w:spacing w:line="360" w:lineRule="atLeast"/>
              <w:jc w:val="left"/>
              <w:textAlignment w:val="center"/>
              <w:rPr>
                <w:rFonts w:hint="eastAsia" w:ascii="宋体" w:hAnsi="宋体"/>
                <w:spacing w:val="4"/>
                <w:kern w:val="0"/>
                <w:sz w:val="18"/>
                <w:szCs w:val="18"/>
              </w:rPr>
            </w:pPr>
            <w:r>
              <w:rPr>
                <w:rFonts w:hint="eastAsia" w:ascii="宋体" w:hAnsi="宋体"/>
                <w:spacing w:val="4"/>
                <w:kern w:val="0"/>
                <w:sz w:val="18"/>
                <w:szCs w:val="18"/>
              </w:rPr>
              <w:t>[简要描述]</w:t>
            </w:r>
          </w:p>
        </w:tc>
      </w:tr>
    </w:tbl>
    <w:p w14:paraId="0384C8F1">
      <w:pPr>
        <w:widowControl/>
        <w:shd w:val="clear" w:color="auto" w:fill="FFFFFF"/>
        <w:adjustRightInd/>
        <w:spacing w:line="360" w:lineRule="atLeast"/>
        <w:ind w:firstLine="436" w:firstLineChars="200"/>
        <w:jc w:val="left"/>
        <w:textAlignment w:val="baseline"/>
        <w:rPr>
          <w:rFonts w:ascii="Helvetica" w:hAnsi="Helvetica"/>
          <w:color w:val="060607"/>
          <w:spacing w:val="4"/>
          <w:kern w:val="0"/>
          <w:shd w:val="clear" w:color="auto" w:fill="FFFFFF"/>
        </w:rPr>
      </w:pPr>
    </w:p>
    <w:p w14:paraId="181D88D7">
      <w:pPr>
        <w:pStyle w:val="80"/>
        <w:snapToGrid w:val="0"/>
        <w:spacing w:before="0" w:after="0" w:afterLines="0" w:line="360" w:lineRule="auto"/>
      </w:pPr>
      <w:bookmarkStart w:id="159" w:name="_Toc191227029"/>
      <w:bookmarkEnd w:id="159"/>
      <w:bookmarkStart w:id="160" w:name="_Toc191227309"/>
      <w:bookmarkEnd w:id="160"/>
    </w:p>
    <w:p w14:paraId="401757ED">
      <w:pPr>
        <w:pStyle w:val="60"/>
        <w:snapToGrid w:val="0"/>
        <w:spacing w:line="360" w:lineRule="auto"/>
        <w:ind w:firstLine="0" w:firstLineChars="0"/>
        <w:jc w:val="center"/>
        <w:rPr>
          <w:rFonts w:hint="eastAsia" w:ascii="黑体" w:hAnsi="黑体" w:eastAsia="黑体"/>
        </w:rPr>
      </w:pPr>
      <w:r>
        <w:rPr>
          <w:rFonts w:hint="eastAsia" w:ascii="黑体" w:hAnsi="黑体" w:eastAsia="黑体"/>
        </w:rPr>
        <w:t>（资料性）</w:t>
      </w:r>
    </w:p>
    <w:p w14:paraId="5A95054C">
      <w:pPr>
        <w:pStyle w:val="80"/>
        <w:numPr>
          <w:ilvl w:val="0"/>
          <w:numId w:val="0"/>
        </w:numPr>
        <w:snapToGrid w:val="0"/>
        <w:spacing w:before="0" w:after="0" w:afterLines="0" w:line="360" w:lineRule="auto"/>
      </w:pPr>
      <w:r>
        <w:rPr>
          <w:rFonts w:hint="eastAsia"/>
        </w:rPr>
        <w:t xml:space="preserve"> </w:t>
      </w:r>
      <w:r>
        <w:t xml:space="preserve"> </w:t>
      </w:r>
      <w:bookmarkStart w:id="161" w:name="_Toc191227310"/>
      <w:bookmarkStart w:id="162" w:name="_Toc191227030"/>
      <w:r>
        <w:rPr>
          <w:rFonts w:hint="eastAsia"/>
        </w:rPr>
        <w:t>兴隆咖啡种植基地评价评分标准</w:t>
      </w:r>
      <w:bookmarkEnd w:id="161"/>
      <w:bookmarkEnd w:id="162"/>
    </w:p>
    <w:p w14:paraId="21F92B86">
      <w:pPr>
        <w:pStyle w:val="82"/>
        <w:spacing w:before="120" w:after="120"/>
      </w:pPr>
      <w:r>
        <w:rPr>
          <w:rFonts w:hint="eastAsia"/>
        </w:rPr>
        <w:t>兴隆咖啡种植基地评价评分标准</w:t>
      </w:r>
    </w:p>
    <w:p w14:paraId="6F077145">
      <w:pPr>
        <w:pStyle w:val="60"/>
        <w:ind w:firstLine="420"/>
      </w:pPr>
      <w:r>
        <w:rPr>
          <w:rFonts w:hint="eastAsia"/>
        </w:rPr>
        <w:t xml:space="preserve"> 兴隆咖啡种植基地评价评分标准见表B.1</w:t>
      </w:r>
    </w:p>
    <w:p w14:paraId="0B9149BF">
      <w:pPr>
        <w:pStyle w:val="81"/>
        <w:numPr>
          <w:ilvl w:val="0"/>
          <w:numId w:val="0"/>
        </w:numPr>
        <w:ind w:firstLine="2520" w:firstLineChars="1200"/>
        <w:jc w:val="both"/>
      </w:pPr>
      <w:r>
        <w:t>表B.1</w:t>
      </w:r>
      <w:r>
        <w:rPr>
          <w:rFonts w:hint="eastAsia"/>
        </w:rPr>
        <w:t xml:space="preserve"> </w:t>
      </w:r>
      <w:r>
        <w:t>兴隆咖啡种植基地评价评分标准</w:t>
      </w:r>
      <w:r>
        <w:rPr>
          <w:rFonts w:hint="eastAsia"/>
        </w:rPr>
        <w:t xml:space="preserve"> </w:t>
      </w:r>
    </w:p>
    <w:tbl>
      <w:tblPr>
        <w:tblStyle w:val="29"/>
        <w:tblpPr w:leftFromText="180" w:rightFromText="180" w:vertAnchor="text" w:horzAnchor="page" w:tblpXSpec="center" w:tblpY="267"/>
        <w:tblOverlap w:val="never"/>
        <w:tblW w:w="903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15" w:type="dxa"/>
          <w:left w:w="15" w:type="dxa"/>
          <w:bottom w:w="15" w:type="dxa"/>
          <w:right w:w="15" w:type="dxa"/>
        </w:tblCellMar>
      </w:tblPr>
      <w:tblGrid>
        <w:gridCol w:w="1356"/>
        <w:gridCol w:w="1605"/>
        <w:gridCol w:w="6075"/>
      </w:tblGrid>
      <w:tr w14:paraId="0D616D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tcBorders>
              <w:top w:val="single" w:color="auto" w:sz="12" w:space="0"/>
              <w:left w:val="single" w:color="auto" w:sz="12" w:space="0"/>
              <w:bottom w:val="single" w:color="auto" w:sz="12" w:space="0"/>
              <w:right w:val="single" w:color="auto" w:sz="4" w:space="0"/>
            </w:tcBorders>
            <w:shd w:val="clear" w:color="auto" w:fill="FFFFFF"/>
            <w:tcMar>
              <w:top w:w="180" w:type="dxa"/>
              <w:left w:w="270" w:type="dxa"/>
              <w:bottom w:w="180" w:type="dxa"/>
              <w:right w:w="270" w:type="dxa"/>
            </w:tcMar>
            <w:vAlign w:val="center"/>
          </w:tcPr>
          <w:p w14:paraId="5FC6EA98">
            <w:pPr>
              <w:widowControl/>
              <w:autoSpaceDE w:val="0"/>
              <w:adjustRightInd/>
              <w:snapToGrid w:val="0"/>
              <w:spacing w:line="240" w:lineRule="auto"/>
              <w:jc w:val="center"/>
              <w:rPr>
                <w:rFonts w:hint="eastAsia" w:ascii="宋体" w:hAnsi="宋体"/>
                <w:b/>
                <w:bCs/>
                <w:color w:val="222222"/>
                <w:sz w:val="18"/>
                <w:szCs w:val="18"/>
              </w:rPr>
            </w:pPr>
            <w:r>
              <w:rPr>
                <w:rFonts w:hint="eastAsia" w:ascii="宋体" w:hAnsi="宋体"/>
                <w:b/>
                <w:bCs/>
                <w:color w:val="222222"/>
                <w:kern w:val="0"/>
                <w:sz w:val="18"/>
                <w:szCs w:val="18"/>
              </w:rPr>
              <w:t>一级指标</w:t>
            </w:r>
          </w:p>
        </w:tc>
        <w:tc>
          <w:tcPr>
            <w:tcW w:w="1605" w:type="dxa"/>
            <w:tcBorders>
              <w:top w:val="single" w:color="auto" w:sz="12" w:space="0"/>
              <w:left w:val="single" w:color="auto" w:sz="4" w:space="0"/>
              <w:bottom w:val="single" w:color="auto" w:sz="12" w:space="0"/>
              <w:right w:val="single" w:color="auto" w:sz="4" w:space="0"/>
            </w:tcBorders>
            <w:shd w:val="clear" w:color="auto" w:fill="FFFFFF"/>
            <w:tcMar>
              <w:top w:w="180" w:type="dxa"/>
              <w:left w:w="270" w:type="dxa"/>
              <w:bottom w:w="180" w:type="dxa"/>
              <w:right w:w="270" w:type="dxa"/>
            </w:tcMar>
            <w:vAlign w:val="center"/>
          </w:tcPr>
          <w:p w14:paraId="6D22AAA0">
            <w:pPr>
              <w:widowControl/>
              <w:autoSpaceDE w:val="0"/>
              <w:adjustRightInd/>
              <w:snapToGrid w:val="0"/>
              <w:spacing w:line="240" w:lineRule="auto"/>
              <w:jc w:val="center"/>
              <w:rPr>
                <w:rFonts w:hint="eastAsia" w:ascii="宋体" w:hAnsi="宋体"/>
                <w:b/>
                <w:bCs/>
                <w:color w:val="222222"/>
                <w:sz w:val="18"/>
                <w:szCs w:val="18"/>
              </w:rPr>
            </w:pPr>
            <w:r>
              <w:rPr>
                <w:rFonts w:hint="eastAsia" w:ascii="宋体" w:hAnsi="宋体"/>
                <w:b/>
                <w:bCs/>
                <w:color w:val="222222"/>
                <w:kern w:val="0"/>
                <w:sz w:val="18"/>
                <w:szCs w:val="18"/>
              </w:rPr>
              <w:t>二级指标</w:t>
            </w:r>
          </w:p>
        </w:tc>
        <w:tc>
          <w:tcPr>
            <w:tcW w:w="6075" w:type="dxa"/>
            <w:tcBorders>
              <w:top w:val="single" w:color="auto" w:sz="12" w:space="0"/>
              <w:left w:val="single" w:color="auto" w:sz="4" w:space="0"/>
              <w:bottom w:val="single" w:color="auto" w:sz="12" w:space="0"/>
              <w:right w:val="single" w:color="auto" w:sz="12" w:space="0"/>
            </w:tcBorders>
            <w:shd w:val="clear" w:color="auto" w:fill="FFFFFF"/>
            <w:tcMar>
              <w:top w:w="180" w:type="dxa"/>
              <w:left w:w="270" w:type="dxa"/>
              <w:bottom w:w="180" w:type="dxa"/>
              <w:right w:w="270" w:type="dxa"/>
            </w:tcMar>
            <w:vAlign w:val="center"/>
          </w:tcPr>
          <w:p w14:paraId="65F89B0F">
            <w:pPr>
              <w:widowControl/>
              <w:autoSpaceDE w:val="0"/>
              <w:adjustRightInd/>
              <w:snapToGrid w:val="0"/>
              <w:spacing w:line="240" w:lineRule="auto"/>
              <w:jc w:val="center"/>
              <w:rPr>
                <w:rFonts w:hint="eastAsia" w:ascii="宋体" w:hAnsi="宋体"/>
                <w:b/>
                <w:bCs/>
                <w:color w:val="222222"/>
                <w:sz w:val="18"/>
                <w:szCs w:val="18"/>
              </w:rPr>
            </w:pPr>
            <w:r>
              <w:rPr>
                <w:rFonts w:hint="eastAsia" w:ascii="宋体" w:hAnsi="宋体"/>
                <w:b/>
                <w:bCs/>
                <w:color w:val="222222"/>
                <w:kern w:val="0"/>
                <w:sz w:val="18"/>
                <w:szCs w:val="18"/>
              </w:rPr>
              <w:t>评分标准</w:t>
            </w:r>
          </w:p>
        </w:tc>
      </w:tr>
      <w:tr w14:paraId="4A2E73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356" w:type="dxa"/>
            <w:vMerge w:val="restart"/>
            <w:tcBorders>
              <w:top w:val="nil"/>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6DB9A73E">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规划布局</w:t>
            </w:r>
          </w:p>
          <w:p w14:paraId="0651D91B">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（15分）</w:t>
            </w:r>
          </w:p>
          <w:p w14:paraId="0D02A3B9">
            <w:pPr>
              <w:widowControl/>
              <w:autoSpaceDE w:val="0"/>
              <w:adjustRightInd/>
              <w:snapToGrid w:val="0"/>
              <w:spacing w:line="240" w:lineRule="auto"/>
              <w:ind w:left="-199" w:leftChars="-95"/>
              <w:jc w:val="center"/>
              <w:rPr>
                <w:rFonts w:hint="eastAsia" w:ascii="宋体" w:hAnsi="宋体"/>
                <w:color w:val="222222"/>
                <w:sz w:val="18"/>
                <w:szCs w:val="18"/>
              </w:rPr>
            </w:pPr>
          </w:p>
        </w:tc>
        <w:tc>
          <w:tcPr>
            <w:tcW w:w="1605" w:type="dxa"/>
            <w:tcBorders>
              <w:top w:val="single" w:color="auto" w:sz="12"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394FAB8D">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选址合理性</w:t>
            </w:r>
          </w:p>
          <w:p w14:paraId="407514AB">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（5分）</w:t>
            </w:r>
          </w:p>
        </w:tc>
        <w:tc>
          <w:tcPr>
            <w:tcW w:w="6075" w:type="dxa"/>
            <w:tcBorders>
              <w:top w:val="single" w:color="auto" w:sz="12"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66A6B2CB">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符合气候、土壤、水源、交通及周边环境要求得 4 - 5分；</w:t>
            </w:r>
          </w:p>
          <w:p w14:paraId="24260B50">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部分符合得 2 - 3分；</w:t>
            </w:r>
          </w:p>
          <w:p w14:paraId="628CAF50">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不符合项较多得 0 - 1分</w:t>
            </w:r>
          </w:p>
        </w:tc>
      </w:tr>
      <w:tr w14:paraId="1728A0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nil"/>
              <w:left w:val="single" w:color="auto" w:sz="12" w:space="0"/>
              <w:bottom w:val="single" w:color="auto" w:sz="4" w:space="0"/>
              <w:right w:val="single" w:color="auto" w:sz="4" w:space="0"/>
            </w:tcBorders>
            <w:vAlign w:val="center"/>
          </w:tcPr>
          <w:p w14:paraId="7306048D">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48E988B0">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功能区划分</w:t>
            </w:r>
          </w:p>
          <w:p w14:paraId="422D9E54">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（5分）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6B1FE6E9">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种植区、管理区等划分科学合理，布局紧凑得 4 - 5分；</w:t>
            </w:r>
          </w:p>
          <w:p w14:paraId="41EA7626">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划分较合理得 2 - 3分；</w:t>
            </w:r>
          </w:p>
          <w:p w14:paraId="5AC3733C">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划分不合理得 0 - 1分</w:t>
            </w:r>
          </w:p>
        </w:tc>
      </w:tr>
      <w:tr w14:paraId="47E353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nil"/>
              <w:left w:val="single" w:color="auto" w:sz="12" w:space="0"/>
              <w:bottom w:val="single" w:color="auto" w:sz="4" w:space="0"/>
              <w:right w:val="single" w:color="auto" w:sz="4" w:space="0"/>
            </w:tcBorders>
            <w:vAlign w:val="center"/>
          </w:tcPr>
          <w:p w14:paraId="0C91426F">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3BAE4DC7">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道路系统规划</w:t>
            </w:r>
          </w:p>
          <w:p w14:paraId="28EAA0A3">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4C2162C8">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道路布局合理，主干道、支道和田间小道满足通行需求得 2 - 3分；</w:t>
            </w:r>
          </w:p>
          <w:p w14:paraId="37D77D21">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基本满足得 1分；</w:t>
            </w:r>
          </w:p>
          <w:p w14:paraId="60E83919">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不满足得 0分</w:t>
            </w:r>
          </w:p>
        </w:tc>
      </w:tr>
      <w:tr w14:paraId="0D13BF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nil"/>
              <w:left w:val="single" w:color="auto" w:sz="12" w:space="0"/>
              <w:bottom w:val="single" w:color="auto" w:sz="4" w:space="0"/>
              <w:right w:val="single" w:color="auto" w:sz="4" w:space="0"/>
            </w:tcBorders>
            <w:vAlign w:val="center"/>
          </w:tcPr>
          <w:p w14:paraId="77001F17">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5AB5BF4C">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灌溉与排水系统规划</w:t>
            </w:r>
          </w:p>
          <w:p w14:paraId="0978AFE3">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760052CE">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灌溉和排水系统设计科学，能有效满足需求得 1 - 2分；</w:t>
            </w:r>
          </w:p>
          <w:p w14:paraId="0575A3A6">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存在部分问题得 0分</w:t>
            </w:r>
          </w:p>
        </w:tc>
      </w:tr>
      <w:tr w14:paraId="0F194E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restart"/>
            <w:tcBorders>
              <w:top w:val="single" w:color="auto" w:sz="4" w:space="0"/>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49ADBF7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设施设备</w:t>
            </w:r>
          </w:p>
          <w:p w14:paraId="29973417">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(15分)</w:t>
            </w: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28B61380">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灌溉设施</w:t>
            </w:r>
          </w:p>
          <w:p w14:paraId="6C16D15E">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（4分）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426AE202">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灌溉设备齐全、运行正常、灌溉均匀得 3 - 4分；设备基本满足需求得 1 - 2分；</w:t>
            </w:r>
          </w:p>
          <w:p w14:paraId="196D3F12">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设备不足得 0分</w:t>
            </w:r>
          </w:p>
        </w:tc>
      </w:tr>
      <w:tr w14:paraId="37AE13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58F605E8">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714D8260">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排水设施</w:t>
            </w:r>
          </w:p>
          <w:p w14:paraId="458F88B2">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2E7BFD31">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排水渠道完善，排水畅通得 2 - 3分；</w:t>
            </w:r>
          </w:p>
          <w:p w14:paraId="65AD032F">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排水能力基本满足得 1分；</w:t>
            </w:r>
          </w:p>
          <w:p w14:paraId="39601FBB">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排水不畅得 0分</w:t>
            </w:r>
          </w:p>
        </w:tc>
      </w:tr>
      <w:tr w14:paraId="67C4B6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2C3CD157">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3437B81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荫蔽树种植</w:t>
            </w:r>
          </w:p>
          <w:p w14:paraId="589E411E">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4A34F1EA">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荫蔽树种类和数量合适，能提供适宜光照得 2 - 3分；</w:t>
            </w:r>
          </w:p>
          <w:p w14:paraId="6C318BED">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基本满足需求得 1分；</w:t>
            </w:r>
          </w:p>
          <w:p w14:paraId="43D1EED8">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荫蔽不适宜得 0分</w:t>
            </w:r>
          </w:p>
        </w:tc>
      </w:tr>
      <w:tr w14:paraId="526852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008AD0ED">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687DC087">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育苗设施</w:t>
            </w:r>
            <w:r>
              <w:rPr>
                <w:rFonts w:hint="eastAsia" w:ascii="宋体" w:hAnsi="宋体"/>
                <w:color w:val="222222"/>
                <w:kern w:val="0"/>
                <w:sz w:val="18"/>
                <w:szCs w:val="18"/>
              </w:rPr>
              <w:br w:type="textWrapping"/>
            </w: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3B4FF03C">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育苗设施完善，能培育优质种苗得 1 - 2分；</w:t>
            </w:r>
          </w:p>
          <w:p w14:paraId="04BFF00A">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设施简陋得 0分</w:t>
            </w:r>
          </w:p>
        </w:tc>
      </w:tr>
      <w:tr w14:paraId="5B9D57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0736974D">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545709E9">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加工设施（可选）</w:t>
            </w:r>
          </w:p>
          <w:p w14:paraId="2A241E8A">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46B46761">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有加工设施且能正常运行，工艺符合标准得 2 - 3分；</w:t>
            </w:r>
          </w:p>
          <w:p w14:paraId="11EEC683">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设施不完善得 1分；</w:t>
            </w:r>
          </w:p>
          <w:p w14:paraId="10425401">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无加工设施得 0分（不涉及深加工可不评此项）</w:t>
            </w:r>
          </w:p>
        </w:tc>
      </w:tr>
      <w:tr w14:paraId="01E683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restart"/>
            <w:tcBorders>
              <w:top w:val="single" w:color="auto" w:sz="4" w:space="0"/>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3E373D83">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种植管理</w:t>
            </w:r>
          </w:p>
          <w:p w14:paraId="683FA0C1">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kern w:val="0"/>
                <w:sz w:val="18"/>
                <w:szCs w:val="18"/>
              </w:rPr>
              <w:t>(25分)</w:t>
            </w: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6C0707F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种苗选择</w:t>
            </w:r>
          </w:p>
          <w:p w14:paraId="64C99899">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（4分）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24F007D1">
            <w:pPr>
              <w:widowControl/>
              <w:autoSpaceDE w:val="0"/>
              <w:adjustRightInd/>
              <w:snapToGrid w:val="0"/>
              <w:spacing w:line="240" w:lineRule="auto"/>
              <w:jc w:val="left"/>
              <w:rPr>
                <w:rFonts w:hint="eastAsia" w:ascii="宋体" w:hAnsi="宋体"/>
                <w:color w:val="222222"/>
                <w:kern w:val="0"/>
                <w:sz w:val="18"/>
                <w:szCs w:val="18"/>
              </w:rPr>
            </w:pPr>
          </w:p>
          <w:p w14:paraId="2768956C">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选用经专业机构认定、适应当地气候土壤条件的优质种苗，且种苗各项参数完全符合行业标准要求得 4 - 5分；</w:t>
            </w:r>
          </w:p>
          <w:p w14:paraId="7239286C">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选用的种苗部分特性符合标准，包括品种纯度略低但不影响整体生长趋势，得 2 - 3分；</w:t>
            </w:r>
          </w:p>
          <w:p w14:paraId="15D0AF6C">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所使用种苗存在明显质量问题，包括带病、活力差等，得 0 - 1分</w:t>
            </w:r>
          </w:p>
        </w:tc>
      </w:tr>
      <w:tr w14:paraId="720A7F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03440184">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62FACB1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定植质量</w:t>
            </w:r>
          </w:p>
          <w:p w14:paraId="4A4E33A7">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（4分）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35205AFF">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依据咖啡树生长特性，在最佳定植时间，运用科学定植方法，且定植后成活率达到 90% 及以上得 3 - 4分；</w:t>
            </w:r>
          </w:p>
          <w:p w14:paraId="354FAD7F">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定植时间和方法基本符合要求，成活率在 70% - 90% 之间得 1 - 2分；</w:t>
            </w:r>
          </w:p>
          <w:p w14:paraId="4CBFB834">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定植时间错误、方法不当，导致成活率低于 70%，得 0分</w:t>
            </w:r>
          </w:p>
        </w:tc>
      </w:tr>
      <w:tr w14:paraId="4077B5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17C19F36">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7A059AFA">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土壤管理</w:t>
            </w:r>
          </w:p>
          <w:p w14:paraId="44176A26">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（4分）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514FFB10">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定期进行覆盖、除草、松土作业，且土壤有机质含量保持稳定增长，土壤理化性质良好得 3 - 4分；</w:t>
            </w:r>
          </w:p>
          <w:p w14:paraId="045F64B1">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能部分落实上述措施，土壤状况基本稳定，得 1 - 2分；</w:t>
            </w:r>
          </w:p>
          <w:p w14:paraId="5AA67F8A">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长期不进行土壤管理工作，土壤板结、肥力下降明显，得 0分</w:t>
            </w:r>
          </w:p>
        </w:tc>
      </w:tr>
      <w:tr w14:paraId="383903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4B7C31E5">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7692F1F5">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施肥管理</w:t>
            </w:r>
          </w:p>
          <w:p w14:paraId="7E59470D">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（4分）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4207B216">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依据土壤检测结果和咖啡树不同生长阶段，制定精准施肥方案，肥料种类、用量和施肥时间完全符合咖啡树营养需求得 3 - 4分；</w:t>
            </w:r>
          </w:p>
          <w:p w14:paraId="3C47D347">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施肥方案基本合理，虽有小偏差但未对咖啡树生长造成明显影响，得 1 - 2分；</w:t>
            </w:r>
          </w:p>
          <w:p w14:paraId="2A812A1A">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施肥种类错误、用量过度或不足，严重影响咖啡树生长，得 0分</w:t>
            </w:r>
          </w:p>
        </w:tc>
      </w:tr>
      <w:tr w14:paraId="739BDC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7E381C16">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499A6191">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灌溉与排水</w:t>
            </w:r>
          </w:p>
          <w:p w14:paraId="429DCEF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3B19CB06">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应根据咖啡树需水规律，合理安排灌溉和排水，在旱季能及时补水，雨季能有效排水，保证咖啡树生长不受水分胁迫得 2 - 3分；</w:t>
            </w:r>
          </w:p>
          <w:p w14:paraId="678E713B">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能基本满足咖啡树水分需求，虽偶尔出现水分供应不及时但未造成严重后果，得 1分；</w:t>
            </w:r>
          </w:p>
          <w:p w14:paraId="5E9ACC48">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频繁出现灌溉过多或排水不畅导致咖啡树生长受影响，得 0分</w:t>
            </w:r>
          </w:p>
        </w:tc>
      </w:tr>
      <w:tr w14:paraId="585FC4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3D76F964">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184A38E3">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整形与修剪</w:t>
            </w:r>
          </w:p>
          <w:p w14:paraId="727521D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12A06351">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应根据咖啡树生长习性和树冠结构，合理进行整形与修剪，使树形通风透光良好，枝干分布均匀，有利于咖啡树生长和产量提升得 2 - 3分；</w:t>
            </w:r>
          </w:p>
          <w:p w14:paraId="2E0EDA0B">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操作基本规范，虽存在一些小瑕疵但未对咖啡树造成实质性伤害，得 1分；</w:t>
            </w:r>
          </w:p>
          <w:p w14:paraId="0ACF93A5">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未进行整形修剪或修剪方法错误，导致咖啡树生长紊乱，得 0分</w:t>
            </w:r>
          </w:p>
        </w:tc>
      </w:tr>
      <w:tr w14:paraId="627F42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tcBorders>
              <w:top w:val="nil"/>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6D0379F5">
            <w:pPr>
              <w:widowControl/>
              <w:autoSpaceDE w:val="0"/>
              <w:adjustRightInd/>
              <w:snapToGrid w:val="0"/>
              <w:spacing w:line="240" w:lineRule="auto"/>
              <w:ind w:left="-199" w:leftChars="-95"/>
              <w:jc w:val="center"/>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396AA311">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田间记录</w:t>
            </w:r>
          </w:p>
          <w:p w14:paraId="4AFE8EC7">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22B84CB3">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详细记录种植过程中的各项农事操作，包括种苗来源、定植时间、施肥记录、病虫害防治情况等，记录准确、完整、及时，得 2 - 3分；</w:t>
            </w:r>
          </w:p>
          <w:p w14:paraId="136331CB">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记录存在部分缺失或不及时，但关键信息基本完整，得 1分；</w:t>
            </w:r>
          </w:p>
          <w:p w14:paraId="5F79E627">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几乎没有田间记录，得 0分</w:t>
            </w:r>
          </w:p>
        </w:tc>
      </w:tr>
      <w:tr w14:paraId="5792EF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restart"/>
            <w:tcBorders>
              <w:top w:val="single" w:color="auto" w:sz="4" w:space="0"/>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4734997C">
            <w:pPr>
              <w:widowControl/>
              <w:autoSpaceDE w:val="0"/>
              <w:adjustRightInd/>
              <w:snapToGrid w:val="0"/>
              <w:spacing w:line="240" w:lineRule="auto"/>
              <w:ind w:left="-199" w:leftChars="-95"/>
              <w:jc w:val="center"/>
              <w:rPr>
                <w:rFonts w:hint="eastAsia" w:ascii="宋体" w:hAnsi="宋体"/>
                <w:color w:val="222222"/>
                <w:sz w:val="18"/>
                <w:szCs w:val="18"/>
              </w:rPr>
            </w:pPr>
          </w:p>
          <w:p w14:paraId="47F1004A">
            <w:pPr>
              <w:widowControl/>
              <w:autoSpaceDE w:val="0"/>
              <w:adjustRightInd/>
              <w:snapToGrid w:val="0"/>
              <w:spacing w:line="240" w:lineRule="auto"/>
              <w:ind w:left="-199" w:leftChars="-95"/>
              <w:jc w:val="center"/>
              <w:rPr>
                <w:rFonts w:hint="eastAsia" w:ascii="宋体" w:hAnsi="宋体"/>
                <w:color w:val="222222"/>
                <w:sz w:val="18"/>
                <w:szCs w:val="18"/>
              </w:rPr>
            </w:pPr>
          </w:p>
          <w:p w14:paraId="03A4F359">
            <w:pPr>
              <w:widowControl/>
              <w:autoSpaceDE w:val="0"/>
              <w:adjustRightInd/>
              <w:snapToGrid w:val="0"/>
              <w:spacing w:line="240" w:lineRule="auto"/>
              <w:ind w:left="-199" w:leftChars="-95"/>
              <w:jc w:val="center"/>
              <w:rPr>
                <w:rFonts w:hint="eastAsia" w:ascii="宋体" w:hAnsi="宋体"/>
                <w:color w:val="222222"/>
                <w:sz w:val="18"/>
                <w:szCs w:val="18"/>
              </w:rPr>
            </w:pPr>
          </w:p>
          <w:p w14:paraId="6A18565A">
            <w:pPr>
              <w:widowControl/>
              <w:autoSpaceDE w:val="0"/>
              <w:adjustRightInd/>
              <w:snapToGrid w:val="0"/>
              <w:spacing w:line="240" w:lineRule="auto"/>
              <w:ind w:left="-199" w:leftChars="-95"/>
              <w:jc w:val="center"/>
              <w:rPr>
                <w:rFonts w:hint="eastAsia" w:ascii="宋体" w:hAnsi="宋体"/>
                <w:color w:val="222222"/>
                <w:sz w:val="18"/>
                <w:szCs w:val="18"/>
              </w:rPr>
            </w:pPr>
          </w:p>
          <w:p w14:paraId="42B59D4D">
            <w:pPr>
              <w:widowControl/>
              <w:autoSpaceDE w:val="0"/>
              <w:adjustRightInd/>
              <w:snapToGrid w:val="0"/>
              <w:spacing w:line="240" w:lineRule="auto"/>
              <w:ind w:left="-199" w:leftChars="-95"/>
              <w:jc w:val="center"/>
              <w:rPr>
                <w:rFonts w:hint="eastAsia" w:ascii="宋体" w:hAnsi="宋体"/>
                <w:color w:val="222222"/>
                <w:sz w:val="18"/>
                <w:szCs w:val="18"/>
              </w:rPr>
            </w:pPr>
          </w:p>
          <w:p w14:paraId="4C606E4F">
            <w:pPr>
              <w:widowControl/>
              <w:autoSpaceDE w:val="0"/>
              <w:adjustRightInd/>
              <w:snapToGrid w:val="0"/>
              <w:spacing w:line="240" w:lineRule="auto"/>
              <w:ind w:left="-199" w:leftChars="-95"/>
              <w:jc w:val="center"/>
              <w:rPr>
                <w:rFonts w:hint="eastAsia" w:ascii="宋体" w:hAnsi="宋体"/>
                <w:color w:val="222222"/>
                <w:sz w:val="18"/>
                <w:szCs w:val="18"/>
              </w:rPr>
            </w:pPr>
          </w:p>
          <w:p w14:paraId="2A74B6A6">
            <w:pPr>
              <w:widowControl/>
              <w:autoSpaceDE w:val="0"/>
              <w:adjustRightInd/>
              <w:snapToGrid w:val="0"/>
              <w:spacing w:line="240" w:lineRule="auto"/>
              <w:ind w:left="-199" w:leftChars="-95"/>
              <w:jc w:val="center"/>
              <w:rPr>
                <w:rFonts w:hint="eastAsia" w:ascii="宋体" w:hAnsi="宋体"/>
                <w:color w:val="222222"/>
                <w:sz w:val="18"/>
                <w:szCs w:val="18"/>
              </w:rPr>
            </w:pPr>
          </w:p>
          <w:p w14:paraId="5A8FD200">
            <w:pPr>
              <w:widowControl/>
              <w:autoSpaceDE w:val="0"/>
              <w:adjustRightInd/>
              <w:snapToGrid w:val="0"/>
              <w:spacing w:line="240" w:lineRule="auto"/>
              <w:ind w:left="-199" w:leftChars="-95"/>
              <w:jc w:val="center"/>
              <w:rPr>
                <w:rFonts w:hint="eastAsia" w:ascii="宋体" w:hAnsi="宋体"/>
                <w:color w:val="222222"/>
                <w:sz w:val="18"/>
                <w:szCs w:val="18"/>
              </w:rPr>
            </w:pPr>
          </w:p>
          <w:p w14:paraId="5A781FB7">
            <w:pPr>
              <w:widowControl/>
              <w:autoSpaceDE w:val="0"/>
              <w:adjustRightInd/>
              <w:snapToGrid w:val="0"/>
              <w:spacing w:line="240" w:lineRule="auto"/>
              <w:ind w:left="-199" w:leftChars="-95"/>
              <w:jc w:val="center"/>
              <w:rPr>
                <w:rFonts w:hint="eastAsia" w:ascii="宋体" w:hAnsi="宋体"/>
                <w:color w:val="222222"/>
                <w:sz w:val="18"/>
                <w:szCs w:val="18"/>
              </w:rPr>
            </w:pPr>
          </w:p>
          <w:p w14:paraId="4D65A7E4">
            <w:pPr>
              <w:widowControl/>
              <w:autoSpaceDE w:val="0"/>
              <w:adjustRightInd/>
              <w:snapToGrid w:val="0"/>
              <w:spacing w:line="240" w:lineRule="auto"/>
              <w:ind w:left="-199" w:leftChars="-95"/>
              <w:jc w:val="center"/>
              <w:rPr>
                <w:rFonts w:hint="eastAsia" w:ascii="宋体" w:hAnsi="宋体"/>
                <w:color w:val="222222"/>
                <w:sz w:val="18"/>
                <w:szCs w:val="18"/>
              </w:rPr>
            </w:pPr>
          </w:p>
          <w:p w14:paraId="4FE6ABB2">
            <w:pPr>
              <w:widowControl/>
              <w:autoSpaceDE w:val="0"/>
              <w:adjustRightInd/>
              <w:snapToGrid w:val="0"/>
              <w:spacing w:line="240" w:lineRule="auto"/>
              <w:ind w:left="-199" w:leftChars="-95"/>
              <w:jc w:val="center"/>
              <w:rPr>
                <w:rFonts w:hint="eastAsia" w:ascii="宋体" w:hAnsi="宋体"/>
                <w:color w:val="222222"/>
                <w:sz w:val="18"/>
                <w:szCs w:val="18"/>
              </w:rPr>
            </w:pPr>
          </w:p>
          <w:p w14:paraId="5F55ABA5">
            <w:pPr>
              <w:widowControl/>
              <w:autoSpaceDE w:val="0"/>
              <w:adjustRightInd/>
              <w:snapToGrid w:val="0"/>
              <w:spacing w:line="240" w:lineRule="auto"/>
              <w:ind w:left="-199" w:leftChars="-95"/>
              <w:jc w:val="center"/>
              <w:rPr>
                <w:rFonts w:hint="eastAsia" w:ascii="宋体" w:hAnsi="宋体"/>
                <w:color w:val="222222"/>
                <w:sz w:val="18"/>
                <w:szCs w:val="18"/>
              </w:rPr>
            </w:pPr>
          </w:p>
          <w:p w14:paraId="74A6CCED">
            <w:pPr>
              <w:widowControl/>
              <w:autoSpaceDE w:val="0"/>
              <w:adjustRightInd/>
              <w:snapToGrid w:val="0"/>
              <w:spacing w:line="240" w:lineRule="auto"/>
              <w:ind w:left="-199" w:leftChars="-95"/>
              <w:jc w:val="center"/>
              <w:rPr>
                <w:rFonts w:hint="eastAsia" w:ascii="宋体" w:hAnsi="宋体"/>
                <w:color w:val="222222"/>
                <w:sz w:val="18"/>
                <w:szCs w:val="18"/>
              </w:rPr>
            </w:pPr>
          </w:p>
          <w:p w14:paraId="3E10A732">
            <w:pPr>
              <w:widowControl/>
              <w:autoSpaceDE w:val="0"/>
              <w:adjustRightInd/>
              <w:snapToGrid w:val="0"/>
              <w:spacing w:line="240" w:lineRule="auto"/>
              <w:ind w:left="-199" w:leftChars="-95"/>
              <w:jc w:val="center"/>
              <w:rPr>
                <w:rFonts w:hint="eastAsia" w:ascii="宋体" w:hAnsi="宋体"/>
                <w:color w:val="222222"/>
                <w:sz w:val="18"/>
                <w:szCs w:val="18"/>
              </w:rPr>
            </w:pPr>
          </w:p>
          <w:p w14:paraId="1FEAEFD3">
            <w:pPr>
              <w:widowControl/>
              <w:autoSpaceDE w:val="0"/>
              <w:adjustRightInd/>
              <w:snapToGrid w:val="0"/>
              <w:spacing w:line="240" w:lineRule="auto"/>
              <w:ind w:left="-199" w:leftChars="-95"/>
              <w:jc w:val="center"/>
              <w:rPr>
                <w:rFonts w:hint="eastAsia" w:ascii="宋体" w:hAnsi="宋体"/>
                <w:color w:val="222222"/>
                <w:sz w:val="18"/>
                <w:szCs w:val="18"/>
              </w:rPr>
            </w:pPr>
          </w:p>
          <w:p w14:paraId="12FF3025">
            <w:pPr>
              <w:widowControl/>
              <w:autoSpaceDE w:val="0"/>
              <w:adjustRightInd/>
              <w:snapToGrid w:val="0"/>
              <w:spacing w:line="240" w:lineRule="auto"/>
              <w:ind w:left="-199" w:leftChars="-95"/>
              <w:jc w:val="center"/>
              <w:rPr>
                <w:rFonts w:hint="eastAsia" w:ascii="宋体" w:hAnsi="宋体"/>
                <w:color w:val="222222"/>
                <w:sz w:val="18"/>
                <w:szCs w:val="18"/>
              </w:rPr>
            </w:pPr>
          </w:p>
          <w:p w14:paraId="62E6C1A6">
            <w:pPr>
              <w:widowControl/>
              <w:autoSpaceDE w:val="0"/>
              <w:adjustRightInd/>
              <w:snapToGrid w:val="0"/>
              <w:spacing w:line="240" w:lineRule="auto"/>
              <w:ind w:left="-199" w:leftChars="-95"/>
              <w:jc w:val="center"/>
              <w:rPr>
                <w:rFonts w:hint="eastAsia" w:ascii="宋体" w:hAnsi="宋体"/>
                <w:color w:val="222222"/>
                <w:sz w:val="18"/>
                <w:szCs w:val="18"/>
              </w:rPr>
            </w:pPr>
          </w:p>
          <w:p w14:paraId="499FDEB6">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sz w:val="18"/>
                <w:szCs w:val="18"/>
              </w:rPr>
              <w:t>病虫害防治</w:t>
            </w:r>
          </w:p>
          <w:p w14:paraId="152FCB0E">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sz w:val="18"/>
                <w:szCs w:val="18"/>
              </w:rPr>
              <w:t>（10分）</w:t>
            </w: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658D90E1">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防治措施执行</w:t>
            </w:r>
          </w:p>
          <w:p w14:paraId="02FBFBCE">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（5分）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17F7CF2D">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建立全面的病虫害监测体系，定期巡查，及时发现病虫害迹象。应根据病虫害种类和发生程度，综合运用物理、生物、化学等多种防治措施，且所有措施均严格按照既定方案有效执行，相关防治记录完整、详细，得 4 - 5分；</w:t>
            </w:r>
          </w:p>
          <w:p w14:paraId="18D3B3D0">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能进行病虫害监测，部分防治措施执行到位，但存在一些细节问题，包括物理防治设施使用不及时，记录有少量缺失，得 2 - 3分；</w:t>
            </w:r>
          </w:p>
          <w:p w14:paraId="0CA60177">
            <w:pPr>
              <w:widowControl/>
              <w:adjustRightInd/>
              <w:spacing w:line="240" w:lineRule="auto"/>
              <w:jc w:val="left"/>
              <w:rPr>
                <w:rFonts w:hint="eastAsia" w:ascii="宋体" w:hAnsi="宋体"/>
                <w:color w:val="222222"/>
                <w:sz w:val="18"/>
                <w:szCs w:val="18"/>
              </w:rPr>
            </w:pPr>
            <w:r>
              <w:rPr>
                <w:rFonts w:hint="eastAsia" w:ascii="宋体" w:hAnsi="宋体"/>
                <w:color w:val="222222"/>
                <w:kern w:val="0"/>
                <w:sz w:val="18"/>
                <w:szCs w:val="18"/>
              </w:rPr>
              <w:t>病虫害监测不及时，防治措施落实不力，随意更改防治方案，得 0 - 1分</w:t>
            </w:r>
          </w:p>
        </w:tc>
      </w:tr>
      <w:tr w14:paraId="640FBA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trHeight w:val="1585" w:hRule="atLeast"/>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3B0CF0B5">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7A7B3401">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农药使用合规性</w:t>
            </w:r>
          </w:p>
          <w:p w14:paraId="63870BEA">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4EE0EC18">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严格遵循国家和地方关于农药使用的相关法规和标准，选用低毒、高效、低残留农药，严格控制农药使用剂量、使用次数和安全间隔期，无任何违规使用农药现象，得 2 - 3分；</w:t>
            </w:r>
          </w:p>
          <w:p w14:paraId="25CE37A0">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仅有偶尔轻微违规，包括安全间隔期稍短但未造成明显影响，得 1分；</w:t>
            </w:r>
          </w:p>
          <w:p w14:paraId="7338C5F8">
            <w:pPr>
              <w:widowControl/>
              <w:adjustRightInd/>
              <w:spacing w:line="240" w:lineRule="auto"/>
              <w:jc w:val="left"/>
              <w:rPr>
                <w:rFonts w:hint="eastAsia" w:ascii="宋体" w:hAnsi="宋体"/>
                <w:color w:val="222222"/>
                <w:sz w:val="18"/>
                <w:szCs w:val="18"/>
              </w:rPr>
            </w:pPr>
            <w:r>
              <w:rPr>
                <w:rFonts w:hint="eastAsia" w:ascii="宋体" w:hAnsi="宋体"/>
                <w:color w:val="222222"/>
                <w:kern w:val="0"/>
                <w:sz w:val="18"/>
                <w:szCs w:val="18"/>
              </w:rPr>
              <w:t>频繁违规使用农药，包括超剂量、超范围使用，或使用禁用农药，得 0分</w:t>
            </w:r>
          </w:p>
        </w:tc>
      </w:tr>
      <w:tr w14:paraId="3AE21E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4A82C514">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15CF65D6">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病虫害发生情况</w:t>
            </w:r>
          </w:p>
          <w:p w14:paraId="508286DA">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3A7C374E">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通过有效防治，病虫害发生率控制在 5% 以内，且未对咖啡产量和品质造成明显损失，咖啡树生长态势良好，得 1 - 2分；</w:t>
            </w:r>
          </w:p>
          <w:p w14:paraId="4A628A92">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病虫害发生率在 5% - 15% 之间，对咖啡生长有一定影响，得 0.5 - 1分；</w:t>
            </w:r>
          </w:p>
          <w:p w14:paraId="416AD7B5">
            <w:pPr>
              <w:widowControl/>
              <w:adjustRightInd/>
              <w:spacing w:line="240" w:lineRule="auto"/>
              <w:jc w:val="left"/>
              <w:rPr>
                <w:rFonts w:hint="eastAsia" w:ascii="宋体" w:hAnsi="宋体"/>
                <w:color w:val="222222"/>
                <w:sz w:val="18"/>
                <w:szCs w:val="18"/>
              </w:rPr>
            </w:pPr>
            <w:r>
              <w:rPr>
                <w:rFonts w:hint="eastAsia" w:ascii="宋体" w:hAnsi="宋体"/>
                <w:color w:val="222222"/>
                <w:kern w:val="0"/>
                <w:sz w:val="18"/>
                <w:szCs w:val="18"/>
              </w:rPr>
              <w:t>病虫害发生率超过 15%，严重影响咖啡产量和品质，得 0分。</w:t>
            </w:r>
          </w:p>
        </w:tc>
      </w:tr>
      <w:tr w14:paraId="34CC95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0FB28C15">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4FB4B601">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应急处理能力</w:t>
            </w:r>
          </w:p>
          <w:p w14:paraId="62B71CED">
            <w:pPr>
              <w:widowControl/>
              <w:adjustRightInd/>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25DDA4C3">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制定完善的病虫害应急预案，明确应急处理流程和责任分工。当发生重大病虫害疫情时，应迅速启动应急预案，及时采取有效的防控措施，将损失降到最低，得 1 - 2分；</w:t>
            </w:r>
          </w:p>
          <w:p w14:paraId="43069F90">
            <w:pPr>
              <w:widowControl/>
              <w:adjustRightInd/>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有应急预案，但内容不够完善，或在实际应急处理中响应速度较慢、措施效果不佳，得 0.5 - 1分；</w:t>
            </w:r>
          </w:p>
          <w:p w14:paraId="70241F2B">
            <w:pPr>
              <w:widowControl/>
              <w:adjustRightInd/>
              <w:spacing w:line="240" w:lineRule="auto"/>
              <w:jc w:val="left"/>
              <w:rPr>
                <w:rFonts w:hint="eastAsia" w:ascii="宋体" w:hAnsi="宋体"/>
                <w:color w:val="222222"/>
                <w:sz w:val="18"/>
                <w:szCs w:val="18"/>
              </w:rPr>
            </w:pPr>
            <w:r>
              <w:rPr>
                <w:rFonts w:hint="eastAsia" w:ascii="宋体" w:hAnsi="宋体"/>
                <w:color w:val="222222"/>
                <w:kern w:val="0"/>
                <w:sz w:val="18"/>
                <w:szCs w:val="18"/>
              </w:rPr>
              <w:t>未制定应急预案，面对突发病虫害无法有效应对，得 0分</w:t>
            </w:r>
          </w:p>
        </w:tc>
      </w:tr>
      <w:tr w14:paraId="36E1D2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restart"/>
            <w:tcBorders>
              <w:top w:val="single" w:color="auto" w:sz="4" w:space="0"/>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279EA9E3">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收获采摘</w:t>
            </w:r>
          </w:p>
          <w:p w14:paraId="0CE83871">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sz w:val="18"/>
                <w:szCs w:val="18"/>
              </w:rPr>
              <w:t>（10分）</w:t>
            </w:r>
          </w:p>
          <w:p w14:paraId="43CA0BC3">
            <w:pPr>
              <w:widowControl/>
              <w:autoSpaceDE w:val="0"/>
              <w:adjustRightInd/>
              <w:snapToGrid w:val="0"/>
              <w:spacing w:line="240" w:lineRule="auto"/>
              <w:ind w:left="-199" w:leftChars="-95"/>
              <w:jc w:val="center"/>
              <w:rPr>
                <w:rFonts w:hint="eastAsia" w:ascii="宋体" w:hAnsi="宋体"/>
                <w:color w:val="222222"/>
                <w:kern w:val="0"/>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393200F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收获时间与方法</w:t>
            </w:r>
          </w:p>
          <w:p w14:paraId="4E5C0EB9">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（5分）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3CADA6E0">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收获时间合适，方法正确得 4 - 5分；</w:t>
            </w:r>
          </w:p>
          <w:p w14:paraId="6CE7A6C7">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收获时间或方法有偏差得 1 - 3分；</w:t>
            </w:r>
          </w:p>
          <w:p w14:paraId="0DF62478">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收获不当得 0分</w:t>
            </w:r>
          </w:p>
        </w:tc>
      </w:tr>
      <w:tr w14:paraId="496592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1066BFCC">
            <w:pPr>
              <w:widowControl/>
              <w:adjustRightInd/>
              <w:spacing w:line="240" w:lineRule="auto"/>
              <w:jc w:val="left"/>
              <w:rPr>
                <w:rFonts w:hint="eastAsia" w:ascii="宋体" w:hAnsi="宋体"/>
                <w:color w:val="222222"/>
                <w:kern w:val="0"/>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50D8B0D4">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采摘管理</w:t>
            </w:r>
          </w:p>
          <w:p w14:paraId="240485F1">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（5分）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5C93289E">
            <w:pPr>
              <w:widowControl/>
              <w:autoSpaceDE w:val="0"/>
              <w:adjustRightInd/>
              <w:snapToGrid w:val="0"/>
              <w:spacing w:line="240" w:lineRule="auto"/>
              <w:jc w:val="left"/>
              <w:rPr>
                <w:rFonts w:hint="eastAsia" w:ascii="宋体" w:hAnsi="宋体"/>
                <w:color w:val="222222"/>
                <w:sz w:val="18"/>
                <w:szCs w:val="18"/>
              </w:rPr>
            </w:pPr>
          </w:p>
          <w:p w14:paraId="148A2CD6">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sz w:val="18"/>
                <w:szCs w:val="18"/>
              </w:rPr>
              <w:t>手工采摘：细致甄别果实成熟度，仅采摘完全成熟的咖啡果，果实破损率控制在 5% 以内，得 4 - 5分；</w:t>
            </w:r>
          </w:p>
          <w:p w14:paraId="13E6D5C0">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sz w:val="18"/>
                <w:szCs w:val="18"/>
              </w:rPr>
              <w:t>基本能做到挑选成熟果实，但存在少量未成熟或过熟果实混采，果实破损率在 5% - 10%，得 2 - 3分；</w:t>
            </w:r>
          </w:p>
          <w:p w14:paraId="19A2EF95">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sz w:val="18"/>
                <w:szCs w:val="18"/>
              </w:rPr>
              <w:t>采摘时对果实成熟度把控不足，有较多未成熟或过熟果实，果实破损率超 10%，得 0 - 1分。</w:t>
            </w:r>
          </w:p>
          <w:p w14:paraId="1ACDEFE3">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sz w:val="18"/>
                <w:szCs w:val="18"/>
              </w:rPr>
              <w:t>机械采摘：</w:t>
            </w:r>
          </w:p>
          <w:p w14:paraId="69789940">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sz w:val="18"/>
                <w:szCs w:val="18"/>
              </w:rPr>
              <w:t>机械性能良好，调试精准，能适应咖啡种植园地形与咖啡树布局，果实成熟度识别精准度达 80% 以上，果实破损率控制在 10% 以内，得 4 - 5分；成熟度识别精准度在 60% - 80%，果实破损率在 10% - 15%，得 2 - 3分；</w:t>
            </w:r>
          </w:p>
          <w:p w14:paraId="529C1885">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sz w:val="18"/>
                <w:szCs w:val="18"/>
              </w:rPr>
              <w:t>成熟度识别精准度低于 60% ，果实破损率超 15%，得 0 - 1分。</w:t>
            </w:r>
          </w:p>
        </w:tc>
      </w:tr>
      <w:tr w14:paraId="5794B3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restart"/>
            <w:tcBorders>
              <w:top w:val="single" w:color="auto" w:sz="4" w:space="0"/>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58A71109">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经济效益</w:t>
            </w:r>
          </w:p>
          <w:p w14:paraId="1C4563EF">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sz w:val="18"/>
                <w:szCs w:val="18"/>
              </w:rPr>
              <w:t>（10分）</w:t>
            </w:r>
          </w:p>
          <w:p w14:paraId="2D177D40">
            <w:pPr>
              <w:widowControl/>
              <w:autoSpaceDE w:val="0"/>
              <w:adjustRightInd/>
              <w:snapToGrid w:val="0"/>
              <w:spacing w:line="240" w:lineRule="auto"/>
              <w:ind w:left="-199" w:leftChars="-95"/>
              <w:jc w:val="center"/>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792CC747">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产量与产值</w:t>
            </w:r>
          </w:p>
          <w:p w14:paraId="45E5F67D">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（5分）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222DF174">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产量高，产值达到预期得 4 - 5分；产量和产值一般得 2 - 3分；产量产值低得 0 - 1分</w:t>
            </w:r>
          </w:p>
        </w:tc>
      </w:tr>
      <w:tr w14:paraId="2C536B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7EA4DCBF">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15B576FD">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成本控制</w:t>
            </w:r>
          </w:p>
          <w:p w14:paraId="6DA27517">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0C72E181">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成本控制有效，投入产出比合理得 2 - 3分；</w:t>
            </w:r>
          </w:p>
          <w:p w14:paraId="2E41C5F1">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成本控制一般得 1分；成本过高得 0分</w:t>
            </w:r>
          </w:p>
        </w:tc>
      </w:tr>
      <w:tr w14:paraId="527F07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1746084F">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74B98FEB">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市场销售</w:t>
            </w:r>
          </w:p>
          <w:p w14:paraId="0DD326AE">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787FA1DF">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产品销售渠道畅通，市场认可度高得 1 - 2分；</w:t>
            </w:r>
          </w:p>
          <w:p w14:paraId="5371DED9">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销售存在困难得 0分</w:t>
            </w:r>
          </w:p>
        </w:tc>
      </w:tr>
      <w:tr w14:paraId="3EEE63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restart"/>
            <w:tcBorders>
              <w:top w:val="single" w:color="auto" w:sz="4" w:space="0"/>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6E618677">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生态效益</w:t>
            </w:r>
          </w:p>
          <w:p w14:paraId="2E70671C">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sz w:val="18"/>
                <w:szCs w:val="18"/>
              </w:rPr>
              <w:t>（10分）</w:t>
            </w:r>
          </w:p>
          <w:p w14:paraId="29307BF5">
            <w:pPr>
              <w:widowControl/>
              <w:autoSpaceDE w:val="0"/>
              <w:adjustRightInd/>
              <w:snapToGrid w:val="0"/>
              <w:spacing w:line="240" w:lineRule="auto"/>
              <w:ind w:left="-199" w:leftChars="-95"/>
              <w:jc w:val="center"/>
              <w:rPr>
                <w:rFonts w:hint="eastAsia" w:ascii="宋体" w:hAnsi="宋体"/>
                <w:color w:val="222222"/>
                <w:kern w:val="0"/>
                <w:sz w:val="18"/>
                <w:szCs w:val="18"/>
              </w:rPr>
            </w:pPr>
          </w:p>
          <w:p w14:paraId="4410373A">
            <w:pPr>
              <w:widowControl/>
              <w:autoSpaceDE w:val="0"/>
              <w:adjustRightInd/>
              <w:snapToGrid w:val="0"/>
              <w:spacing w:line="240" w:lineRule="auto"/>
              <w:ind w:left="-199" w:leftChars="-95"/>
              <w:jc w:val="center"/>
              <w:rPr>
                <w:rFonts w:hint="eastAsia" w:ascii="宋体" w:hAnsi="宋体"/>
                <w:color w:val="222222"/>
                <w:kern w:val="0"/>
                <w:sz w:val="18"/>
                <w:szCs w:val="18"/>
              </w:rPr>
            </w:pPr>
          </w:p>
          <w:p w14:paraId="3D238203">
            <w:pPr>
              <w:widowControl/>
              <w:autoSpaceDE w:val="0"/>
              <w:adjustRightInd/>
              <w:snapToGrid w:val="0"/>
              <w:spacing w:line="240" w:lineRule="auto"/>
              <w:rPr>
                <w:rFonts w:hint="eastAsia" w:ascii="宋体" w:hAnsi="宋体"/>
                <w:color w:val="222222"/>
                <w:kern w:val="0"/>
                <w:sz w:val="18"/>
                <w:szCs w:val="18"/>
              </w:rPr>
            </w:pPr>
          </w:p>
          <w:p w14:paraId="163F940B">
            <w:pPr>
              <w:widowControl/>
              <w:autoSpaceDE w:val="0"/>
              <w:adjustRightInd/>
              <w:snapToGrid w:val="0"/>
              <w:spacing w:line="240" w:lineRule="auto"/>
              <w:ind w:left="-199" w:leftChars="-95"/>
              <w:jc w:val="center"/>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201F3381">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土壤质量维护</w:t>
            </w:r>
          </w:p>
          <w:p w14:paraId="6807969B">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0629A1BD">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土壤肥力提升，结构良好得 2 - 3分；</w:t>
            </w:r>
          </w:p>
          <w:p w14:paraId="062E7295">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土壤质量基本稳定得 1分；土壤质量下降得 0分</w:t>
            </w:r>
          </w:p>
        </w:tc>
      </w:tr>
      <w:tr w14:paraId="5BE964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5A7DF084">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2C80E679">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水资源利用</w:t>
            </w:r>
          </w:p>
          <w:p w14:paraId="681686B9">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433B4E15">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水资源利用高效，无浪费和污染得 2 - 3分；</w:t>
            </w:r>
          </w:p>
          <w:p w14:paraId="552F6487">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利用较合理得 1分；</w:t>
            </w:r>
          </w:p>
          <w:p w14:paraId="16307446">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浪费或污染严重得 0分</w:t>
            </w:r>
          </w:p>
        </w:tc>
      </w:tr>
      <w:tr w14:paraId="509532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23B29FB4">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16A576D6">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生物多样性保护</w:t>
            </w:r>
          </w:p>
          <w:p w14:paraId="64CCBD4B">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1D86C003">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注重生物多样性保护，生态环境良好得 1 - 2分；</w:t>
            </w:r>
          </w:p>
          <w:p w14:paraId="5580FDCB">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生物多样性受影响得 0分</w:t>
            </w:r>
          </w:p>
        </w:tc>
      </w:tr>
      <w:tr w14:paraId="0B253C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4" w:space="0"/>
              <w:right w:val="single" w:color="auto" w:sz="4" w:space="0"/>
            </w:tcBorders>
            <w:vAlign w:val="center"/>
          </w:tcPr>
          <w:p w14:paraId="06B5DBD5">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09BF234B">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废弃物处理</w:t>
            </w:r>
          </w:p>
          <w:p w14:paraId="04B9AE78">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6266EA3D">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废弃物处理得当，无环境污染得 1 - 2分；</w:t>
            </w:r>
          </w:p>
          <w:p w14:paraId="21350C4A">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处理不当得 0分</w:t>
            </w:r>
          </w:p>
        </w:tc>
      </w:tr>
      <w:tr w14:paraId="0BF844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restart"/>
            <w:tcBorders>
              <w:top w:val="single" w:color="auto" w:sz="4" w:space="0"/>
              <w:left w:val="single" w:color="auto" w:sz="12"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2E8D62F2">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社会效益</w:t>
            </w:r>
          </w:p>
          <w:p w14:paraId="01199CDC">
            <w:pPr>
              <w:widowControl/>
              <w:autoSpaceDE w:val="0"/>
              <w:adjustRightInd/>
              <w:snapToGrid w:val="0"/>
              <w:spacing w:line="240" w:lineRule="auto"/>
              <w:ind w:left="-199" w:leftChars="-95"/>
              <w:jc w:val="center"/>
              <w:rPr>
                <w:rFonts w:hint="eastAsia" w:ascii="宋体" w:hAnsi="宋体"/>
                <w:color w:val="222222"/>
                <w:sz w:val="18"/>
                <w:szCs w:val="18"/>
              </w:rPr>
            </w:pPr>
            <w:r>
              <w:rPr>
                <w:rFonts w:hint="eastAsia" w:ascii="宋体" w:hAnsi="宋体"/>
                <w:color w:val="222222"/>
                <w:sz w:val="18"/>
                <w:szCs w:val="18"/>
              </w:rPr>
              <w:t>（5分）</w:t>
            </w:r>
          </w:p>
        </w:tc>
        <w:tc>
          <w:tcPr>
            <w:tcW w:w="1605" w:type="dxa"/>
            <w:tcBorders>
              <w:top w:val="single" w:color="auto" w:sz="4" w:space="0"/>
              <w:left w:val="single" w:color="auto" w:sz="4" w:space="0"/>
              <w:bottom w:val="single" w:color="auto" w:sz="4" w:space="0"/>
              <w:right w:val="single" w:color="auto" w:sz="4" w:space="0"/>
            </w:tcBorders>
            <w:shd w:val="clear" w:color="auto" w:fill="FFFFFF"/>
            <w:tcMar>
              <w:top w:w="180" w:type="dxa"/>
              <w:left w:w="270" w:type="dxa"/>
              <w:bottom w:w="180" w:type="dxa"/>
              <w:right w:w="270" w:type="dxa"/>
            </w:tcMar>
            <w:vAlign w:val="center"/>
          </w:tcPr>
          <w:p w14:paraId="4EA34736">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带动就业</w:t>
            </w:r>
          </w:p>
          <w:p w14:paraId="68EFD1A9">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（2分）</w:t>
            </w:r>
          </w:p>
        </w:tc>
        <w:tc>
          <w:tcPr>
            <w:tcW w:w="6075" w:type="dxa"/>
            <w:tcBorders>
              <w:top w:val="single" w:color="auto" w:sz="4" w:space="0"/>
              <w:left w:val="single" w:color="auto" w:sz="4" w:space="0"/>
              <w:bottom w:val="single" w:color="auto" w:sz="4" w:space="0"/>
              <w:right w:val="single" w:color="auto" w:sz="12" w:space="0"/>
            </w:tcBorders>
            <w:shd w:val="clear" w:color="auto" w:fill="FFFFFF"/>
            <w:tcMar>
              <w:top w:w="180" w:type="dxa"/>
              <w:left w:w="270" w:type="dxa"/>
              <w:bottom w:w="180" w:type="dxa"/>
              <w:right w:w="270" w:type="dxa"/>
            </w:tcMar>
            <w:vAlign w:val="center"/>
          </w:tcPr>
          <w:p w14:paraId="534B2D0A">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为当地提供较多就业机会，促进增收得 1 - 2分；</w:t>
            </w:r>
          </w:p>
          <w:p w14:paraId="060BC103">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带动就业作用不明显得 0分</w:t>
            </w:r>
          </w:p>
        </w:tc>
      </w:tr>
      <w:tr w14:paraId="43761F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5" w:type="dxa"/>
            <w:left w:w="15" w:type="dxa"/>
            <w:bottom w:w="15" w:type="dxa"/>
            <w:right w:w="15" w:type="dxa"/>
          </w:tblCellMar>
        </w:tblPrEx>
        <w:trPr>
          <w:jc w:val="center"/>
        </w:trPr>
        <w:tc>
          <w:tcPr>
            <w:tcW w:w="1356" w:type="dxa"/>
            <w:vMerge w:val="continue"/>
            <w:tcBorders>
              <w:top w:val="single" w:color="auto" w:sz="4" w:space="0"/>
              <w:left w:val="single" w:color="auto" w:sz="12" w:space="0"/>
              <w:bottom w:val="single" w:color="auto" w:sz="12" w:space="0"/>
              <w:right w:val="single" w:color="auto" w:sz="4" w:space="0"/>
            </w:tcBorders>
            <w:vAlign w:val="center"/>
          </w:tcPr>
          <w:p w14:paraId="4E6A41AA">
            <w:pPr>
              <w:widowControl/>
              <w:adjustRightInd/>
              <w:spacing w:line="240" w:lineRule="auto"/>
              <w:jc w:val="left"/>
              <w:rPr>
                <w:rFonts w:hint="eastAsia" w:ascii="宋体" w:hAnsi="宋体"/>
                <w:color w:val="222222"/>
                <w:sz w:val="18"/>
                <w:szCs w:val="18"/>
              </w:rPr>
            </w:pPr>
          </w:p>
        </w:tc>
        <w:tc>
          <w:tcPr>
            <w:tcW w:w="1605" w:type="dxa"/>
            <w:tcBorders>
              <w:top w:val="single" w:color="auto" w:sz="4" w:space="0"/>
              <w:left w:val="single" w:color="auto" w:sz="4" w:space="0"/>
              <w:bottom w:val="single" w:color="auto" w:sz="12" w:space="0"/>
              <w:right w:val="single" w:color="auto" w:sz="4" w:space="0"/>
            </w:tcBorders>
            <w:shd w:val="clear" w:color="auto" w:fill="FFFFFF"/>
            <w:tcMar>
              <w:top w:w="180" w:type="dxa"/>
              <w:left w:w="270" w:type="dxa"/>
              <w:bottom w:w="180" w:type="dxa"/>
              <w:right w:w="270" w:type="dxa"/>
            </w:tcMar>
            <w:vAlign w:val="center"/>
          </w:tcPr>
          <w:p w14:paraId="5D66074C">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产业带动</w:t>
            </w:r>
          </w:p>
          <w:p w14:paraId="2E32E812">
            <w:pPr>
              <w:widowControl/>
              <w:autoSpaceDE w:val="0"/>
              <w:adjustRightInd/>
              <w:snapToGrid w:val="0"/>
              <w:spacing w:line="240" w:lineRule="auto"/>
              <w:ind w:left="-199" w:leftChars="-95"/>
              <w:jc w:val="center"/>
              <w:rPr>
                <w:rFonts w:hint="eastAsia" w:ascii="宋体" w:hAnsi="宋体"/>
                <w:color w:val="222222"/>
                <w:kern w:val="0"/>
                <w:sz w:val="18"/>
                <w:szCs w:val="18"/>
              </w:rPr>
            </w:pPr>
            <w:r>
              <w:rPr>
                <w:rFonts w:hint="eastAsia" w:ascii="宋体" w:hAnsi="宋体"/>
                <w:color w:val="222222"/>
                <w:kern w:val="0"/>
                <w:sz w:val="18"/>
                <w:szCs w:val="18"/>
              </w:rPr>
              <w:t>（3分）</w:t>
            </w:r>
          </w:p>
        </w:tc>
        <w:tc>
          <w:tcPr>
            <w:tcW w:w="6075" w:type="dxa"/>
            <w:tcBorders>
              <w:top w:val="single" w:color="auto" w:sz="4" w:space="0"/>
              <w:left w:val="single" w:color="auto" w:sz="4" w:space="0"/>
              <w:bottom w:val="single" w:color="auto" w:sz="12" w:space="0"/>
              <w:right w:val="single" w:color="auto" w:sz="12" w:space="0"/>
            </w:tcBorders>
            <w:shd w:val="clear" w:color="auto" w:fill="FFFFFF"/>
            <w:tcMar>
              <w:top w:w="180" w:type="dxa"/>
              <w:left w:w="270" w:type="dxa"/>
              <w:bottom w:w="180" w:type="dxa"/>
              <w:right w:w="270" w:type="dxa"/>
            </w:tcMar>
            <w:vAlign w:val="center"/>
          </w:tcPr>
          <w:p w14:paraId="71FDBEDF">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对周边咖啡产业有带动作用，促进技术交流得 2 - 3分；</w:t>
            </w:r>
          </w:p>
          <w:p w14:paraId="2E906407">
            <w:pPr>
              <w:widowControl/>
              <w:autoSpaceDE w:val="0"/>
              <w:adjustRightInd/>
              <w:snapToGrid w:val="0"/>
              <w:spacing w:line="240" w:lineRule="auto"/>
              <w:jc w:val="left"/>
              <w:rPr>
                <w:rFonts w:hint="eastAsia" w:ascii="宋体" w:hAnsi="宋体"/>
                <w:color w:val="222222"/>
                <w:kern w:val="0"/>
                <w:sz w:val="18"/>
                <w:szCs w:val="18"/>
              </w:rPr>
            </w:pPr>
            <w:r>
              <w:rPr>
                <w:rFonts w:hint="eastAsia" w:ascii="宋体" w:hAnsi="宋体"/>
                <w:color w:val="222222"/>
                <w:kern w:val="0"/>
                <w:sz w:val="18"/>
                <w:szCs w:val="18"/>
              </w:rPr>
              <w:t>带动作用小得 1分；</w:t>
            </w:r>
          </w:p>
          <w:p w14:paraId="745A337C">
            <w:pPr>
              <w:widowControl/>
              <w:autoSpaceDE w:val="0"/>
              <w:adjustRightInd/>
              <w:snapToGrid w:val="0"/>
              <w:spacing w:line="240" w:lineRule="auto"/>
              <w:jc w:val="left"/>
              <w:rPr>
                <w:rFonts w:hint="eastAsia" w:ascii="宋体" w:hAnsi="宋体"/>
                <w:color w:val="222222"/>
                <w:sz w:val="18"/>
                <w:szCs w:val="18"/>
              </w:rPr>
            </w:pPr>
            <w:r>
              <w:rPr>
                <w:rFonts w:hint="eastAsia" w:ascii="宋体" w:hAnsi="宋体"/>
                <w:color w:val="222222"/>
                <w:kern w:val="0"/>
                <w:sz w:val="18"/>
                <w:szCs w:val="18"/>
              </w:rPr>
              <w:t>无带动作用得 0分</w:t>
            </w:r>
          </w:p>
        </w:tc>
      </w:tr>
    </w:tbl>
    <w:p w14:paraId="2596B008">
      <w:pPr>
        <w:pStyle w:val="60"/>
        <w:ind w:firstLine="420"/>
      </w:pPr>
    </w:p>
    <w:p w14:paraId="20EBDC9A">
      <w:pPr>
        <w:pStyle w:val="60"/>
        <w:ind w:firstLine="420"/>
      </w:pPr>
    </w:p>
    <w:p w14:paraId="137AD48B">
      <w:pPr>
        <w:pStyle w:val="60"/>
        <w:ind w:firstLine="420"/>
      </w:pPr>
    </w:p>
    <w:p w14:paraId="6A388EBE">
      <w:pPr>
        <w:pStyle w:val="60"/>
        <w:ind w:firstLine="420"/>
      </w:pPr>
    </w:p>
    <w:p w14:paraId="16C8FC59">
      <w:pPr>
        <w:pStyle w:val="60"/>
        <w:ind w:firstLine="420"/>
      </w:pPr>
    </w:p>
    <w:p w14:paraId="37859655">
      <w:pPr>
        <w:pStyle w:val="60"/>
        <w:ind w:firstLine="420"/>
      </w:pPr>
    </w:p>
    <w:p w14:paraId="1AE516F8">
      <w:pPr>
        <w:pStyle w:val="60"/>
        <w:ind w:firstLine="420"/>
      </w:pPr>
    </w:p>
    <w:p w14:paraId="61AEE4A2">
      <w:pPr>
        <w:pStyle w:val="60"/>
        <w:ind w:firstLine="420"/>
      </w:pPr>
    </w:p>
    <w:p w14:paraId="0D861211">
      <w:pPr>
        <w:pStyle w:val="60"/>
        <w:ind w:firstLine="420"/>
      </w:pPr>
    </w:p>
    <w:p w14:paraId="6B6FC946">
      <w:pPr>
        <w:pStyle w:val="60"/>
        <w:ind w:firstLine="420"/>
      </w:pPr>
    </w:p>
    <w:p w14:paraId="3A897DFD">
      <w:pPr>
        <w:pStyle w:val="60"/>
        <w:ind w:firstLine="420"/>
      </w:pPr>
    </w:p>
    <w:p w14:paraId="47B31A9E">
      <w:pPr>
        <w:pStyle w:val="60"/>
        <w:ind w:firstLine="420"/>
      </w:pPr>
    </w:p>
    <w:p w14:paraId="3D10F2B8">
      <w:pPr>
        <w:pStyle w:val="60"/>
        <w:ind w:firstLine="420"/>
      </w:pPr>
    </w:p>
    <w:p w14:paraId="4E3C5615">
      <w:pPr>
        <w:pStyle w:val="60"/>
        <w:ind w:firstLine="420"/>
      </w:pPr>
    </w:p>
    <w:p w14:paraId="7BBF4A47">
      <w:pPr>
        <w:pStyle w:val="60"/>
        <w:ind w:firstLine="420"/>
      </w:pPr>
    </w:p>
    <w:p w14:paraId="74918026">
      <w:pPr>
        <w:pStyle w:val="60"/>
        <w:ind w:firstLine="420"/>
      </w:pPr>
    </w:p>
    <w:p w14:paraId="0CEE2379">
      <w:pPr>
        <w:pStyle w:val="60"/>
        <w:ind w:firstLine="420"/>
      </w:pPr>
    </w:p>
    <w:p w14:paraId="26D3A190">
      <w:pPr>
        <w:pStyle w:val="60"/>
        <w:ind w:firstLine="420"/>
      </w:pPr>
    </w:p>
    <w:p w14:paraId="1FE9EB87">
      <w:pPr>
        <w:pStyle w:val="60"/>
        <w:ind w:firstLine="420"/>
      </w:pPr>
    </w:p>
    <w:p w14:paraId="6BFD6831">
      <w:pPr>
        <w:pStyle w:val="60"/>
        <w:ind w:firstLine="420"/>
      </w:pPr>
    </w:p>
    <w:p w14:paraId="73930AF2">
      <w:pPr>
        <w:pStyle w:val="60"/>
        <w:ind w:firstLine="420"/>
      </w:pPr>
    </w:p>
    <w:p w14:paraId="6B17DC86">
      <w:pPr>
        <w:pStyle w:val="60"/>
        <w:ind w:firstLine="420"/>
      </w:pPr>
    </w:p>
    <w:p w14:paraId="0D73EF34">
      <w:pPr>
        <w:pStyle w:val="60"/>
        <w:ind w:firstLine="420"/>
      </w:pPr>
    </w:p>
    <w:p w14:paraId="33AC4E5F">
      <w:pPr>
        <w:pStyle w:val="60"/>
        <w:ind w:firstLine="420"/>
      </w:pPr>
    </w:p>
    <w:p w14:paraId="744759FE">
      <w:pPr>
        <w:pStyle w:val="60"/>
        <w:ind w:firstLine="420"/>
      </w:pPr>
    </w:p>
    <w:p w14:paraId="70544A0D">
      <w:pPr>
        <w:pStyle w:val="60"/>
        <w:ind w:firstLine="420"/>
      </w:pPr>
    </w:p>
    <w:p w14:paraId="6CA9BA66">
      <w:pPr>
        <w:pStyle w:val="60"/>
        <w:ind w:firstLine="420"/>
      </w:pPr>
    </w:p>
    <w:p w14:paraId="4660C7A0">
      <w:pPr>
        <w:pStyle w:val="60"/>
        <w:ind w:firstLine="420"/>
      </w:pPr>
    </w:p>
    <w:p w14:paraId="09D7269C">
      <w:pPr>
        <w:pStyle w:val="60"/>
        <w:ind w:firstLine="420"/>
      </w:pPr>
    </w:p>
    <w:p w14:paraId="1DF0EE37">
      <w:pPr>
        <w:pStyle w:val="60"/>
        <w:ind w:firstLine="420"/>
      </w:pPr>
    </w:p>
    <w:p w14:paraId="3EEF68A8">
      <w:pPr>
        <w:pStyle w:val="60"/>
        <w:ind w:firstLine="420"/>
      </w:pPr>
    </w:p>
    <w:p w14:paraId="018EC31C">
      <w:pPr>
        <w:pStyle w:val="60"/>
        <w:ind w:firstLine="420"/>
      </w:pPr>
    </w:p>
    <w:p w14:paraId="5CDFC6FC">
      <w:pPr>
        <w:pStyle w:val="80"/>
        <w:spacing w:line="360" w:lineRule="auto"/>
      </w:pPr>
      <w:r>
        <w:br w:type="textWrapping"/>
      </w:r>
      <w:bookmarkStart w:id="163" w:name="_Toc191227311"/>
      <w:bookmarkStart w:id="164" w:name="_Toc191227031"/>
      <w:r>
        <w:rPr>
          <w:rFonts w:hint="eastAsia"/>
        </w:rPr>
        <w:t>（资料性）</w:t>
      </w:r>
      <w:r>
        <w:br w:type="textWrapping"/>
      </w:r>
      <w:r>
        <w:rPr>
          <w:rFonts w:hint="eastAsia"/>
        </w:rPr>
        <w:t xml:space="preserve"> </w:t>
      </w:r>
      <w:r>
        <w:t xml:space="preserve">  </w:t>
      </w:r>
      <w:r>
        <w:rPr>
          <w:rFonts w:hint="eastAsia"/>
        </w:rPr>
        <w:t>兴隆咖啡种植基地评价结论表</w:t>
      </w:r>
      <w:bookmarkEnd w:id="163"/>
      <w:bookmarkEnd w:id="164"/>
    </w:p>
    <w:p w14:paraId="0FE1AC22">
      <w:pPr>
        <w:pStyle w:val="82"/>
        <w:spacing w:before="120" w:after="120"/>
      </w:pPr>
      <w:r>
        <w:rPr>
          <w:rFonts w:hint="eastAsia"/>
        </w:rPr>
        <w:t>兴隆咖啡种植基地评价结论表</w:t>
      </w:r>
    </w:p>
    <w:p w14:paraId="5F955995">
      <w:pPr>
        <w:pStyle w:val="60"/>
        <w:ind w:firstLine="420"/>
      </w:pPr>
      <w:r>
        <w:t>表C.1规定了</w:t>
      </w:r>
      <w:r>
        <w:rPr>
          <w:rFonts w:hint="eastAsia"/>
        </w:rPr>
        <w:t>兴隆咖啡种植基地评价结论表</w:t>
      </w:r>
      <w:r>
        <w:t>的内容。</w:t>
      </w:r>
    </w:p>
    <w:p w14:paraId="7F9AA309">
      <w:pPr>
        <w:pStyle w:val="81"/>
        <w:numPr>
          <w:ilvl w:val="0"/>
          <w:numId w:val="0"/>
        </w:numPr>
      </w:pPr>
      <w:r>
        <w:t>表C.1  评价结论表</w:t>
      </w:r>
    </w:p>
    <w:tbl>
      <w:tblPr>
        <w:tblStyle w:val="238"/>
        <w:tblW w:w="878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5"/>
        <w:gridCol w:w="3233"/>
        <w:gridCol w:w="2392"/>
        <w:gridCol w:w="1604"/>
      </w:tblGrid>
      <w:tr w14:paraId="208760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1555" w:type="dxa"/>
          </w:tcPr>
          <w:p w14:paraId="6A6D7E69">
            <w:pPr>
              <w:pStyle w:val="237"/>
              <w:spacing w:before="224" w:line="218" w:lineRule="auto"/>
              <w:ind w:firstLine="348" w:firstLineChars="200"/>
              <w:rPr>
                <w:rFonts w:hint="eastAsia"/>
              </w:rPr>
            </w:pPr>
            <w:r>
              <w:rPr>
                <w:spacing w:val="-3"/>
              </w:rPr>
              <w:t>受评价单位</w:t>
            </w:r>
          </w:p>
        </w:tc>
        <w:tc>
          <w:tcPr>
            <w:tcW w:w="7229" w:type="dxa"/>
            <w:gridSpan w:val="3"/>
          </w:tcPr>
          <w:p w14:paraId="059782F3">
            <w:pPr>
              <w:rPr>
                <w:rFonts w:ascii="Arial"/>
              </w:rPr>
            </w:pPr>
          </w:p>
        </w:tc>
      </w:tr>
      <w:tr w14:paraId="4E6A1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555" w:type="dxa"/>
          </w:tcPr>
          <w:p w14:paraId="049FE8E2">
            <w:pPr>
              <w:pStyle w:val="237"/>
              <w:spacing w:before="220" w:line="218" w:lineRule="auto"/>
              <w:ind w:firstLine="528" w:firstLineChars="300"/>
              <w:rPr>
                <w:rFonts w:hint="eastAsia"/>
              </w:rPr>
            </w:pPr>
            <w:r>
              <w:rPr>
                <w:spacing w:val="-2"/>
              </w:rPr>
              <w:t>评价日期</w:t>
            </w:r>
          </w:p>
        </w:tc>
        <w:tc>
          <w:tcPr>
            <w:tcW w:w="3233" w:type="dxa"/>
          </w:tcPr>
          <w:p w14:paraId="05B5D0F7">
            <w:pPr>
              <w:rPr>
                <w:rFonts w:ascii="Arial"/>
              </w:rPr>
            </w:pPr>
          </w:p>
        </w:tc>
        <w:tc>
          <w:tcPr>
            <w:tcW w:w="2392" w:type="dxa"/>
          </w:tcPr>
          <w:p w14:paraId="2B1E4350">
            <w:pPr>
              <w:pStyle w:val="237"/>
              <w:spacing w:before="220" w:line="218" w:lineRule="auto"/>
              <w:ind w:left="112"/>
              <w:jc w:val="center"/>
              <w:rPr>
                <w:rFonts w:hint="eastAsia"/>
              </w:rPr>
            </w:pPr>
            <w:r>
              <w:rPr>
                <w:spacing w:val="-2"/>
              </w:rPr>
              <w:t>评价得分</w:t>
            </w:r>
          </w:p>
        </w:tc>
        <w:tc>
          <w:tcPr>
            <w:tcW w:w="1604" w:type="dxa"/>
          </w:tcPr>
          <w:p w14:paraId="430914A7">
            <w:pPr>
              <w:rPr>
                <w:rFonts w:ascii="Arial"/>
              </w:rPr>
            </w:pPr>
          </w:p>
        </w:tc>
      </w:tr>
      <w:tr w14:paraId="596CA5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37" w:hRule="atLeast"/>
          <w:jc w:val="center"/>
        </w:trPr>
        <w:tc>
          <w:tcPr>
            <w:tcW w:w="1555" w:type="dxa"/>
          </w:tcPr>
          <w:p w14:paraId="5694BD17">
            <w:pPr>
              <w:spacing w:line="242" w:lineRule="auto"/>
              <w:jc w:val="center"/>
              <w:rPr>
                <w:rFonts w:ascii="Arial"/>
              </w:rPr>
            </w:pPr>
          </w:p>
          <w:p w14:paraId="232704C8">
            <w:pPr>
              <w:spacing w:line="242" w:lineRule="auto"/>
              <w:jc w:val="center"/>
              <w:rPr>
                <w:rFonts w:ascii="Arial"/>
              </w:rPr>
            </w:pPr>
          </w:p>
          <w:p w14:paraId="2AEF35F0">
            <w:pPr>
              <w:spacing w:line="242" w:lineRule="auto"/>
              <w:jc w:val="center"/>
              <w:rPr>
                <w:rFonts w:ascii="Arial"/>
              </w:rPr>
            </w:pPr>
          </w:p>
          <w:p w14:paraId="35F50464">
            <w:pPr>
              <w:spacing w:line="242" w:lineRule="auto"/>
              <w:jc w:val="center"/>
              <w:rPr>
                <w:rFonts w:ascii="Arial"/>
              </w:rPr>
            </w:pPr>
          </w:p>
          <w:p w14:paraId="13B63FC1">
            <w:pPr>
              <w:spacing w:line="242" w:lineRule="auto"/>
              <w:jc w:val="center"/>
              <w:rPr>
                <w:rFonts w:ascii="Arial"/>
              </w:rPr>
            </w:pPr>
          </w:p>
          <w:p w14:paraId="51B89745">
            <w:pPr>
              <w:spacing w:line="243" w:lineRule="auto"/>
              <w:jc w:val="center"/>
              <w:rPr>
                <w:rFonts w:ascii="Arial"/>
              </w:rPr>
            </w:pPr>
          </w:p>
          <w:p w14:paraId="319008D6">
            <w:pPr>
              <w:spacing w:line="243" w:lineRule="auto"/>
              <w:jc w:val="center"/>
              <w:rPr>
                <w:rFonts w:ascii="Arial"/>
              </w:rPr>
            </w:pPr>
          </w:p>
          <w:p w14:paraId="7DAFBA41">
            <w:pPr>
              <w:spacing w:line="243" w:lineRule="auto"/>
              <w:jc w:val="center"/>
              <w:rPr>
                <w:rFonts w:ascii="Arial"/>
              </w:rPr>
            </w:pPr>
          </w:p>
          <w:p w14:paraId="59893883">
            <w:pPr>
              <w:spacing w:line="243" w:lineRule="auto"/>
              <w:jc w:val="center"/>
              <w:rPr>
                <w:rFonts w:ascii="Arial"/>
              </w:rPr>
            </w:pPr>
          </w:p>
          <w:p w14:paraId="0049DED2">
            <w:pPr>
              <w:spacing w:line="243" w:lineRule="auto"/>
              <w:jc w:val="center"/>
              <w:rPr>
                <w:rFonts w:ascii="Arial"/>
              </w:rPr>
            </w:pPr>
          </w:p>
          <w:p w14:paraId="2CF5E0FA">
            <w:pPr>
              <w:spacing w:line="243" w:lineRule="auto"/>
              <w:jc w:val="center"/>
              <w:rPr>
                <w:rFonts w:ascii="Arial"/>
              </w:rPr>
            </w:pPr>
          </w:p>
          <w:p w14:paraId="6FC4A39F">
            <w:pPr>
              <w:spacing w:line="243" w:lineRule="auto"/>
              <w:jc w:val="center"/>
              <w:rPr>
                <w:rFonts w:ascii="Arial"/>
              </w:rPr>
            </w:pPr>
          </w:p>
          <w:p w14:paraId="65C5F9F4">
            <w:pPr>
              <w:spacing w:line="243" w:lineRule="auto"/>
              <w:jc w:val="center"/>
              <w:rPr>
                <w:rFonts w:ascii="Arial"/>
              </w:rPr>
            </w:pPr>
          </w:p>
          <w:p w14:paraId="7712F4C2">
            <w:pPr>
              <w:spacing w:line="243" w:lineRule="auto"/>
              <w:jc w:val="center"/>
              <w:rPr>
                <w:rFonts w:ascii="Arial"/>
              </w:rPr>
            </w:pPr>
          </w:p>
          <w:p w14:paraId="2D449EA1">
            <w:pPr>
              <w:spacing w:line="243" w:lineRule="auto"/>
              <w:jc w:val="center"/>
              <w:rPr>
                <w:rFonts w:ascii="Arial"/>
              </w:rPr>
            </w:pPr>
          </w:p>
          <w:p w14:paraId="3C864C8C">
            <w:pPr>
              <w:spacing w:line="243" w:lineRule="auto"/>
              <w:jc w:val="center"/>
              <w:rPr>
                <w:rFonts w:ascii="Arial"/>
              </w:rPr>
            </w:pPr>
          </w:p>
          <w:p w14:paraId="07336A55">
            <w:pPr>
              <w:pStyle w:val="237"/>
              <w:spacing w:before="58" w:line="218" w:lineRule="auto"/>
              <w:jc w:val="center"/>
              <w:rPr>
                <w:rFonts w:hint="eastAsia"/>
              </w:rPr>
            </w:pPr>
            <w:r>
              <w:rPr>
                <w:spacing w:val="-2"/>
              </w:rPr>
              <w:t>评价综述</w:t>
            </w:r>
          </w:p>
        </w:tc>
        <w:tc>
          <w:tcPr>
            <w:tcW w:w="7229" w:type="dxa"/>
            <w:gridSpan w:val="3"/>
          </w:tcPr>
          <w:p w14:paraId="5A82FFB1">
            <w:pPr>
              <w:rPr>
                <w:rFonts w:ascii="Arial"/>
              </w:rPr>
            </w:pPr>
          </w:p>
          <w:p w14:paraId="6E9807B5">
            <w:pPr>
              <w:rPr>
                <w:rFonts w:ascii="Arial"/>
              </w:rPr>
            </w:pPr>
          </w:p>
        </w:tc>
      </w:tr>
      <w:tr w14:paraId="6C878E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1555" w:type="dxa"/>
          </w:tcPr>
          <w:p w14:paraId="3823D38C">
            <w:pPr>
              <w:spacing w:line="475" w:lineRule="auto"/>
              <w:jc w:val="center"/>
              <w:rPr>
                <w:rFonts w:ascii="Arial"/>
              </w:rPr>
            </w:pPr>
          </w:p>
          <w:p w14:paraId="5177678B">
            <w:pPr>
              <w:pStyle w:val="237"/>
              <w:spacing w:before="58" w:line="218" w:lineRule="auto"/>
              <w:jc w:val="center"/>
              <w:rPr>
                <w:rFonts w:hint="eastAsia"/>
              </w:rPr>
            </w:pPr>
            <w:r>
              <w:rPr>
                <w:spacing w:val="-1"/>
              </w:rPr>
              <w:t>评价专家组签字</w:t>
            </w:r>
          </w:p>
        </w:tc>
        <w:tc>
          <w:tcPr>
            <w:tcW w:w="7229" w:type="dxa"/>
            <w:gridSpan w:val="3"/>
          </w:tcPr>
          <w:p w14:paraId="6CCC167C">
            <w:pPr>
              <w:rPr>
                <w:rFonts w:ascii="Arial"/>
              </w:rPr>
            </w:pPr>
          </w:p>
        </w:tc>
      </w:tr>
    </w:tbl>
    <w:p w14:paraId="277F378E">
      <w:pPr>
        <w:pStyle w:val="60"/>
        <w:ind w:firstLine="0" w:firstLineChars="0"/>
        <w:jc w:val="center"/>
      </w:pPr>
      <w:r>
        <w:drawing>
          <wp:inline distT="0" distB="0" distL="0" distR="0">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7">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0"/>
      <w:bookmarkEnd w:id="148"/>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63"/>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Helvetica">
    <w:panose1 w:val="020B0504020202030204"/>
    <w:charset w:val="00"/>
    <w:family w:val="swiss"/>
    <w:pitch w:val="default"/>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16FB6">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971E9">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60EE6">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F00F5">
    <w:pPr>
      <w:pStyle w:val="56"/>
    </w:pPr>
    <w:r>
      <w:fldChar w:fldCharType="begin"/>
    </w:r>
    <w:r>
      <w:instrText xml:space="preserve">PAGE   \* MERGEFORMAT</w:instrText>
    </w:r>
    <w:r>
      <w:fldChar w:fldCharType="separate"/>
    </w:r>
    <w:r>
      <w:rPr>
        <w:lang w:val="zh-CN"/>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235529">
    <w:pPr>
      <w:pStyle w:val="19"/>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A865A">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AE950">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B9131">
    <w:pPr>
      <w:pStyle w:val="65"/>
      <w:rPr>
        <w:rFonts w:hint="eastAsia"/>
      </w:rPr>
    </w:pPr>
    <w:r>
      <w:fldChar w:fldCharType="begin"/>
    </w:r>
    <w:r>
      <w:instrText xml:space="preserve"> STYLEREF  标准文件_文件编号  \* MERGEFORMAT </w:instrText>
    </w:r>
    <w:r>
      <w:fldChar w:fldCharType="separate"/>
    </w:r>
    <w:r>
      <w:t>T/XXX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8"/>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3"/>
      <w:suff w:val="nothing"/>
      <w:lvlText w:val="%1%2.%3　"/>
      <w:lvlJc w:val="left"/>
      <w:pPr>
        <w:ind w:left="0" w:firstLine="0"/>
      </w:pPr>
    </w:lvl>
    <w:lvl w:ilvl="3" w:tentative="0">
      <w:start w:val="1"/>
      <w:numFmt w:val="decimal"/>
      <w:pStyle w:val="122"/>
      <w:suff w:val="nothing"/>
      <w:lvlText w:val="%1%2.%3.%4　"/>
      <w:lvlJc w:val="left"/>
      <w:pPr>
        <w:ind w:left="0" w:firstLine="0"/>
      </w:pPr>
    </w:lvl>
    <w:lvl w:ilvl="4" w:tentative="0">
      <w:start w:val="1"/>
      <w:numFmt w:val="decimal"/>
      <w:pStyle w:val="157"/>
      <w:suff w:val="nothing"/>
      <w:lvlText w:val="%1%2.%3.%4.%5　"/>
      <w:lvlJc w:val="left"/>
      <w:pPr>
        <w:ind w:left="0" w:firstLine="0"/>
      </w:pPr>
    </w:lvl>
    <w:lvl w:ilvl="5" w:tentative="0">
      <w:start w:val="1"/>
      <w:numFmt w:val="decimal"/>
      <w:pStyle w:val="159"/>
      <w:suff w:val="nothing"/>
      <w:lvlText w:val="%1%2.%3.%4.%5.%6　"/>
      <w:lvlJc w:val="left"/>
      <w:pPr>
        <w:ind w:left="0" w:firstLine="0"/>
      </w:pPr>
    </w:lvl>
    <w:lvl w:ilvl="6" w:tentative="0">
      <w:start w:val="1"/>
      <w:numFmt w:val="decimal"/>
      <w:pStyle w:val="162"/>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4"/>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3"/>
      <w:lvlText w:val="%1"/>
      <w:lvlJc w:val="left"/>
      <w:pPr>
        <w:ind w:left="425" w:hanging="425"/>
      </w:pPr>
      <w:rPr>
        <w:rFonts w:hint="eastAsia"/>
      </w:rPr>
    </w:lvl>
    <w:lvl w:ilvl="1" w:tentative="0">
      <w:start w:val="1"/>
      <w:numFmt w:val="decimal"/>
      <w:pStyle w:val="204"/>
      <w:suff w:val="nothing"/>
      <w:lvlText w:val="%10.%2 "/>
      <w:lvlJc w:val="left"/>
      <w:pPr>
        <w:ind w:left="0" w:firstLine="0"/>
      </w:pPr>
      <w:rPr>
        <w:rFonts w:hint="eastAsia" w:ascii="黑体" w:eastAsia="黑体" w:hAnsiTheme="minorHAnsi"/>
        <w:b w:val="0"/>
        <w:i w:val="0"/>
        <w:sz w:val="21"/>
      </w:rPr>
    </w:lvl>
    <w:lvl w:ilvl="2" w:tentative="0">
      <w:start w:val="1"/>
      <w:numFmt w:val="decimal"/>
      <w:pStyle w:val="205"/>
      <w:suff w:val="nothing"/>
      <w:lvlText w:val="%10.%2.%3 "/>
      <w:lvlJc w:val="left"/>
      <w:pPr>
        <w:ind w:left="0" w:firstLine="0"/>
      </w:pPr>
      <w:rPr>
        <w:rFonts w:hint="eastAsia" w:ascii="黑体" w:eastAsia="黑体" w:hAnsiTheme="minorHAnsi"/>
        <w:b w:val="0"/>
        <w:i w:val="0"/>
        <w:sz w:val="21"/>
      </w:rPr>
    </w:lvl>
    <w:lvl w:ilvl="3" w:tentative="0">
      <w:start w:val="1"/>
      <w:numFmt w:val="decimal"/>
      <w:pStyle w:val="206"/>
      <w:suff w:val="nothing"/>
      <w:lvlText w:val="%10.%2.%3.%4 "/>
      <w:lvlJc w:val="left"/>
      <w:pPr>
        <w:ind w:left="0" w:firstLine="0"/>
      </w:pPr>
      <w:rPr>
        <w:rFonts w:hint="eastAsia" w:ascii="黑体" w:eastAsia="黑体" w:hAnsiTheme="minorHAnsi"/>
        <w:b w:val="0"/>
        <w:i w:val="0"/>
        <w:sz w:val="21"/>
      </w:rPr>
    </w:lvl>
    <w:lvl w:ilvl="4" w:tentative="0">
      <w:start w:val="1"/>
      <w:numFmt w:val="decimal"/>
      <w:pStyle w:val="207"/>
      <w:suff w:val="nothing"/>
      <w:lvlText w:val="%10.%2.%3.%4.%5 "/>
      <w:lvlJc w:val="left"/>
      <w:pPr>
        <w:ind w:left="0" w:firstLine="0"/>
      </w:pPr>
      <w:rPr>
        <w:rFonts w:hint="eastAsia" w:ascii="黑体" w:eastAsia="黑体" w:hAnsiTheme="minorHAnsi"/>
        <w:b w:val="0"/>
        <w:i w:val="0"/>
        <w:sz w:val="21"/>
      </w:rPr>
    </w:lvl>
    <w:lvl w:ilvl="5" w:tentative="0">
      <w:start w:val="1"/>
      <w:numFmt w:val="decimal"/>
      <w:pStyle w:val="208"/>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5"/>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1"/>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3"/>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1C14B91"/>
    <w:multiLevelType w:val="multilevel"/>
    <w:tmpl w:val="11C14B91"/>
    <w:lvl w:ilvl="0" w:tentative="0">
      <w:start w:val="10"/>
      <w:numFmt w:val="decimal"/>
      <w:lvlText w:val="%1"/>
      <w:lvlJc w:val="left"/>
      <w:pPr>
        <w:ind w:left="660" w:hanging="660"/>
      </w:pPr>
      <w:rPr>
        <w:rFonts w:hint="default"/>
      </w:rPr>
    </w:lvl>
    <w:lvl w:ilvl="1" w:tentative="0">
      <w:start w:val="2"/>
      <w:numFmt w:val="decimal"/>
      <w:lvlText w:val="%1.%2"/>
      <w:lvlJc w:val="left"/>
      <w:pPr>
        <w:ind w:left="660" w:hanging="660"/>
      </w:pPr>
      <w:rPr>
        <w:rFonts w:hint="default"/>
      </w:rPr>
    </w:lvl>
    <w:lvl w:ilvl="2" w:tentative="0">
      <w:start w:val="2"/>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8">
    <w:nsid w:val="1AD20F90"/>
    <w:multiLevelType w:val="multilevel"/>
    <w:tmpl w:val="1AD20F90"/>
    <w:lvl w:ilvl="0" w:tentative="0">
      <w:start w:val="1"/>
      <w:numFmt w:val="none"/>
      <w:pStyle w:val="114"/>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9"/>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6"/>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C5917C3"/>
    <w:multiLevelType w:val="multilevel"/>
    <w:tmpl w:val="2C5917C3"/>
    <w:lvl w:ilvl="0" w:tentative="0">
      <w:start w:val="1"/>
      <w:numFmt w:val="none"/>
      <w:pStyle w:val="136"/>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1"/>
      <w:lvlText w:val=""/>
      <w:lvlJc w:val="left"/>
      <w:pPr>
        <w:ind w:left="851" w:hanging="431"/>
      </w:pPr>
      <w:rPr>
        <w:rFonts w:hint="default" w:ascii="Symbol" w:hAnsi="Symbol"/>
        <w:sz w:val="21"/>
      </w:rPr>
    </w:lvl>
    <w:lvl w:ilvl="2" w:tentative="0">
      <w:start w:val="1"/>
      <w:numFmt w:val="bullet"/>
      <w:pStyle w:val="176"/>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5"/>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8"/>
      <w:lvlText w:val="%1)"/>
      <w:lvlJc w:val="left"/>
      <w:pPr>
        <w:tabs>
          <w:tab w:val="left" w:pos="851"/>
        </w:tabs>
        <w:ind w:left="851" w:hanging="426"/>
      </w:pPr>
      <w:rPr>
        <w:rFonts w:hint="eastAsia" w:ascii="宋体" w:hAnsi="Times New Roman" w:eastAsia="宋体"/>
        <w:sz w:val="21"/>
      </w:rPr>
    </w:lvl>
    <w:lvl w:ilvl="1" w:tentative="0">
      <w:start w:val="1"/>
      <w:numFmt w:val="decimal"/>
      <w:pStyle w:val="113"/>
      <w:lvlText w:val="%2)"/>
      <w:lvlJc w:val="left"/>
      <w:pPr>
        <w:tabs>
          <w:tab w:val="left" w:pos="1276"/>
        </w:tabs>
        <w:ind w:left="1276" w:hanging="425"/>
      </w:pPr>
      <w:rPr>
        <w:rFonts w:hint="eastAsia" w:ascii="宋体" w:hAnsi="Times New Roman" w:eastAsia="宋体"/>
        <w:sz w:val="21"/>
      </w:rPr>
    </w:lvl>
    <w:lvl w:ilvl="2" w:tentative="0">
      <w:start w:val="1"/>
      <w:numFmt w:val="decimal"/>
      <w:pStyle w:val="121"/>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202"/>
      <w:lvlText w:val="%1"/>
      <w:lvlJc w:val="left"/>
      <w:pPr>
        <w:ind w:left="420" w:hanging="420"/>
      </w:pPr>
      <w:rPr>
        <w:rFonts w:hint="eastAsia"/>
      </w:rPr>
    </w:lvl>
    <w:lvl w:ilvl="1" w:tentative="0">
      <w:start w:val="1"/>
      <w:numFmt w:val="decimal"/>
      <w:pStyle w:val="87"/>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7"/>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20"/>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7"/>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8"/>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03"/>
      <w:suff w:val="space"/>
      <w:lvlText w:val="%1"/>
      <w:lvlJc w:val="left"/>
      <w:pPr>
        <w:ind w:left="425" w:hanging="425"/>
      </w:pPr>
      <w:rPr>
        <w:rFonts w:hint="eastAsia"/>
      </w:rPr>
    </w:lvl>
    <w:lvl w:ilvl="1" w:tentative="0">
      <w:start w:val="1"/>
      <w:numFmt w:val="decimal"/>
      <w:pStyle w:val="81"/>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5"/>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6"/>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93"/>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80"/>
      <w:suff w:val="nothing"/>
      <w:lvlText w:val="附录%1"/>
      <w:lvlJc w:val="left"/>
      <w:pPr>
        <w:ind w:left="1559" w:firstLine="0"/>
      </w:pPr>
      <w:rPr>
        <w:rFonts w:hint="eastAsia"/>
        <w:spacing w:val="100"/>
      </w:rPr>
    </w:lvl>
    <w:lvl w:ilvl="1" w:tentative="0">
      <w:start w:val="1"/>
      <w:numFmt w:val="decimal"/>
      <w:pStyle w:val="82"/>
      <w:suff w:val="nothing"/>
      <w:lvlText w:val="%1.%2　"/>
      <w:lvlJc w:val="left"/>
      <w:pPr>
        <w:ind w:left="0" w:firstLine="0"/>
      </w:pPr>
      <w:rPr>
        <w:rFonts w:hint="eastAsia" w:ascii="黑体" w:eastAsia="黑体"/>
        <w:b w:val="0"/>
        <w:i w:val="0"/>
        <w:sz w:val="21"/>
      </w:rPr>
    </w:lvl>
    <w:lvl w:ilvl="2" w:tentative="0">
      <w:start w:val="1"/>
      <w:numFmt w:val="decimal"/>
      <w:pStyle w:val="83"/>
      <w:suff w:val="nothing"/>
      <w:lvlText w:val="%1.%2.%3　"/>
      <w:lvlJc w:val="left"/>
      <w:pPr>
        <w:ind w:left="0" w:firstLine="0"/>
      </w:pPr>
      <w:rPr>
        <w:rFonts w:hint="eastAsia" w:ascii="黑体" w:eastAsia="黑体"/>
        <w:b w:val="0"/>
        <w:i w:val="0"/>
        <w:sz w:val="21"/>
      </w:rPr>
    </w:lvl>
    <w:lvl w:ilvl="3" w:tentative="0">
      <w:start w:val="1"/>
      <w:numFmt w:val="decimal"/>
      <w:pStyle w:val="85"/>
      <w:suff w:val="nothing"/>
      <w:lvlText w:val="%1.%2.%3.%4　"/>
      <w:lvlJc w:val="left"/>
      <w:pPr>
        <w:ind w:left="0" w:firstLine="0"/>
      </w:pPr>
      <w:rPr>
        <w:rFonts w:hint="eastAsia" w:ascii="黑体" w:eastAsia="黑体"/>
        <w:b w:val="0"/>
        <w:i w:val="0"/>
        <w:sz w:val="21"/>
      </w:rPr>
    </w:lvl>
    <w:lvl w:ilvl="4" w:tentative="0">
      <w:start w:val="1"/>
      <w:numFmt w:val="decimal"/>
      <w:pStyle w:val="86"/>
      <w:suff w:val="nothing"/>
      <w:lvlText w:val="%1.%2.%3.%4.%5　"/>
      <w:lvlJc w:val="left"/>
      <w:pPr>
        <w:ind w:left="0" w:firstLine="0"/>
      </w:pPr>
      <w:rPr>
        <w:rFonts w:hint="eastAsia" w:ascii="黑体" w:eastAsia="黑体"/>
        <w:b w:val="0"/>
        <w:i w:val="0"/>
        <w:sz w:val="21"/>
      </w:rPr>
    </w:lvl>
    <w:lvl w:ilvl="5" w:tentative="0">
      <w:start w:val="1"/>
      <w:numFmt w:val="decimal"/>
      <w:pStyle w:val="88"/>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75C0BF3"/>
    <w:multiLevelType w:val="multilevel"/>
    <w:tmpl w:val="675C0BF3"/>
    <w:lvl w:ilvl="0" w:tentative="0">
      <w:start w:val="11"/>
      <w:numFmt w:val="decimal"/>
      <w:lvlText w:val="%1"/>
      <w:lvlJc w:val="left"/>
      <w:pPr>
        <w:ind w:left="660" w:hanging="660"/>
      </w:pPr>
      <w:rPr>
        <w:rFonts w:hint="default"/>
      </w:rPr>
    </w:lvl>
    <w:lvl w:ilvl="1" w:tentative="0">
      <w:start w:val="1"/>
      <w:numFmt w:val="decimal"/>
      <w:lvlText w:val="%1.%2"/>
      <w:lvlJc w:val="left"/>
      <w:pPr>
        <w:ind w:left="660" w:hanging="660"/>
      </w:pPr>
      <w:rPr>
        <w:rFonts w:hint="default"/>
      </w:rPr>
    </w:lvl>
    <w:lvl w:ilvl="2" w:tentative="0">
      <w:start w:val="2"/>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6">
    <w:nsid w:val="68781E24"/>
    <w:multiLevelType w:val="multilevel"/>
    <w:tmpl w:val="68781E24"/>
    <w:lvl w:ilvl="0" w:tentative="0">
      <w:start w:val="8"/>
      <w:numFmt w:val="decimal"/>
      <w:lvlText w:val="%1"/>
      <w:lvlJc w:val="left"/>
      <w:pPr>
        <w:ind w:left="550" w:hanging="550"/>
      </w:pPr>
      <w:rPr>
        <w:rFonts w:hint="default"/>
      </w:rPr>
    </w:lvl>
    <w:lvl w:ilvl="1" w:tentative="0">
      <w:start w:val="5"/>
      <w:numFmt w:val="decimal"/>
      <w:lvlText w:val="%1.%2"/>
      <w:lvlJc w:val="left"/>
      <w:pPr>
        <w:ind w:left="550" w:hanging="550"/>
      </w:pPr>
      <w:rPr>
        <w:rFonts w:hint="default"/>
      </w:rPr>
    </w:lvl>
    <w:lvl w:ilvl="2" w:tentative="0">
      <w:start w:val="2"/>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7">
    <w:nsid w:val="69506ABF"/>
    <w:multiLevelType w:val="multilevel"/>
    <w:tmpl w:val="69506ABF"/>
    <w:lvl w:ilvl="0" w:tentative="0">
      <w:start w:val="1"/>
      <w:numFmt w:val="bullet"/>
      <w:pStyle w:val="192"/>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8">
    <w:nsid w:val="6CA41985"/>
    <w:multiLevelType w:val="multilevel"/>
    <w:tmpl w:val="6CA41985"/>
    <w:lvl w:ilvl="0" w:tentative="0">
      <w:start w:val="1"/>
      <w:numFmt w:val="decimal"/>
      <w:pStyle w:val="101"/>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9">
    <w:nsid w:val="6CE42AC1"/>
    <w:multiLevelType w:val="multilevel"/>
    <w:tmpl w:val="6CE42AC1"/>
    <w:lvl w:ilvl="0" w:tentative="0">
      <w:start w:val="1"/>
      <w:numFmt w:val="lowerLetter"/>
      <w:pStyle w:val="177"/>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CEA2025"/>
    <w:multiLevelType w:val="multilevel"/>
    <w:tmpl w:val="6CEA2025"/>
    <w:lvl w:ilvl="0" w:tentative="0">
      <w:start w:val="1"/>
      <w:numFmt w:val="none"/>
      <w:pStyle w:val="156"/>
      <w:suff w:val="nothing"/>
      <w:lvlText w:val="%1"/>
      <w:lvlJc w:val="left"/>
      <w:pPr>
        <w:ind w:left="0" w:firstLine="0"/>
      </w:pPr>
      <w:rPr>
        <w:rFonts w:hint="eastAsia"/>
      </w:rPr>
    </w:lvl>
    <w:lvl w:ilvl="1" w:tentative="0">
      <w:start w:val="1"/>
      <w:numFmt w:val="decimal"/>
      <w:pStyle w:val="108"/>
      <w:suff w:val="nothing"/>
      <w:lvlText w:val="%1%2　"/>
      <w:lvlJc w:val="left"/>
      <w:pPr>
        <w:ind w:left="283" w:firstLine="0"/>
      </w:pPr>
      <w:rPr>
        <w:rFonts w:hint="eastAsia" w:ascii="黑体" w:eastAsia="黑体"/>
        <w:b w:val="0"/>
        <w:i w:val="0"/>
        <w:sz w:val="21"/>
      </w:rPr>
    </w:lvl>
    <w:lvl w:ilvl="2" w:tentative="0">
      <w:start w:val="1"/>
      <w:numFmt w:val="decimal"/>
      <w:pStyle w:val="109"/>
      <w:suff w:val="nothing"/>
      <w:lvlText w:val="%1%2.%3　"/>
      <w:lvlJc w:val="left"/>
      <w:pPr>
        <w:ind w:left="141"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9"/>
      <w:suff w:val="nothing"/>
      <w:lvlText w:val="%1%2.%3.%4　"/>
      <w:lvlJc w:val="left"/>
      <w:pPr>
        <w:ind w:left="0" w:firstLine="0"/>
      </w:pPr>
      <w:rPr>
        <w:rFonts w:hint="eastAsia" w:ascii="黑体" w:eastAsia="黑体"/>
        <w:b w:val="0"/>
        <w:i w:val="0"/>
        <w:sz w:val="21"/>
      </w:rPr>
    </w:lvl>
    <w:lvl w:ilvl="4" w:tentative="0">
      <w:start w:val="1"/>
      <w:numFmt w:val="decimal"/>
      <w:pStyle w:val="98"/>
      <w:suff w:val="nothing"/>
      <w:lvlText w:val="%1%2.%3.%4.%5　"/>
      <w:lvlJc w:val="left"/>
      <w:pPr>
        <w:ind w:left="0" w:firstLine="0"/>
      </w:pPr>
      <w:rPr>
        <w:rFonts w:hint="eastAsia" w:ascii="黑体" w:eastAsia="黑体"/>
        <w:b w:val="0"/>
        <w:i w:val="0"/>
        <w:sz w:val="21"/>
      </w:rPr>
    </w:lvl>
    <w:lvl w:ilvl="5" w:tentative="0">
      <w:start w:val="1"/>
      <w:numFmt w:val="decimal"/>
      <w:pStyle w:val="102"/>
      <w:suff w:val="nothing"/>
      <w:lvlText w:val="%1%2.%3.%4.%5.%6　"/>
      <w:lvlJc w:val="left"/>
      <w:pPr>
        <w:ind w:left="0" w:firstLine="0"/>
      </w:pPr>
      <w:rPr>
        <w:rFonts w:hint="eastAsia" w:ascii="黑体" w:eastAsia="黑体"/>
        <w:b w:val="0"/>
        <w:i w:val="0"/>
        <w:sz w:val="21"/>
      </w:rPr>
    </w:lvl>
    <w:lvl w:ilvl="6" w:tentative="0">
      <w:start w:val="1"/>
      <w:numFmt w:val="decimal"/>
      <w:pStyle w:val="107"/>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1">
    <w:nsid w:val="6DBF04F4"/>
    <w:multiLevelType w:val="multilevel"/>
    <w:tmpl w:val="6DBF04F4"/>
    <w:lvl w:ilvl="0" w:tentative="0">
      <w:start w:val="1"/>
      <w:numFmt w:val="none"/>
      <w:pStyle w:val="183"/>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2">
    <w:nsid w:val="6DF35F19"/>
    <w:multiLevelType w:val="multilevel"/>
    <w:tmpl w:val="6DF35F19"/>
    <w:lvl w:ilvl="0" w:tentative="0">
      <w:start w:val="1"/>
      <w:numFmt w:val="decimal"/>
      <w:pStyle w:val="119"/>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3">
    <w:nsid w:val="76933334"/>
    <w:multiLevelType w:val="multilevel"/>
    <w:tmpl w:val="76933334"/>
    <w:lvl w:ilvl="0" w:tentative="0">
      <w:start w:val="1"/>
      <w:numFmt w:val="none"/>
      <w:pStyle w:val="143"/>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30"/>
  </w:num>
  <w:num w:numId="3">
    <w:abstractNumId w:val="5"/>
  </w:num>
  <w:num w:numId="4">
    <w:abstractNumId w:val="24"/>
  </w:num>
  <w:num w:numId="5">
    <w:abstractNumId w:val="19"/>
  </w:num>
  <w:num w:numId="6">
    <w:abstractNumId w:val="14"/>
  </w:num>
  <w:num w:numId="7">
    <w:abstractNumId w:val="9"/>
  </w:num>
  <w:num w:numId="8">
    <w:abstractNumId w:val="3"/>
  </w:num>
  <w:num w:numId="9">
    <w:abstractNumId w:val="10"/>
  </w:num>
  <w:num w:numId="10">
    <w:abstractNumId w:val="17"/>
  </w:num>
  <w:num w:numId="11">
    <w:abstractNumId w:val="28"/>
  </w:num>
  <w:num w:numId="12">
    <w:abstractNumId w:val="12"/>
  </w:num>
  <w:num w:numId="13">
    <w:abstractNumId w:val="13"/>
  </w:num>
  <w:num w:numId="14">
    <w:abstractNumId w:val="8"/>
  </w:num>
  <w:num w:numId="15">
    <w:abstractNumId w:val="20"/>
  </w:num>
  <w:num w:numId="16">
    <w:abstractNumId w:val="22"/>
  </w:num>
  <w:num w:numId="17">
    <w:abstractNumId w:val="18"/>
  </w:num>
  <w:num w:numId="18">
    <w:abstractNumId w:val="32"/>
  </w:num>
  <w:num w:numId="19">
    <w:abstractNumId w:val="16"/>
  </w:num>
  <w:num w:numId="20">
    <w:abstractNumId w:val="1"/>
  </w:num>
  <w:num w:numId="21">
    <w:abstractNumId w:val="11"/>
  </w:num>
  <w:num w:numId="22">
    <w:abstractNumId w:val="33"/>
  </w:num>
  <w:num w:numId="23">
    <w:abstractNumId w:val="21"/>
  </w:num>
  <w:num w:numId="24">
    <w:abstractNumId w:val="6"/>
  </w:num>
  <w:num w:numId="25">
    <w:abstractNumId w:val="29"/>
  </w:num>
  <w:num w:numId="26">
    <w:abstractNumId w:val="31"/>
  </w:num>
  <w:num w:numId="27">
    <w:abstractNumId w:val="2"/>
  </w:num>
  <w:num w:numId="28">
    <w:abstractNumId w:val="4"/>
  </w:num>
  <w:num w:numId="29">
    <w:abstractNumId w:val="15"/>
  </w:num>
  <w:num w:numId="30">
    <w:abstractNumId w:val="27"/>
  </w:num>
  <w:num w:numId="31">
    <w:abstractNumId w:val="23"/>
  </w:num>
  <w:num w:numId="32">
    <w:abstractNumId w:val="26"/>
  </w:num>
  <w:num w:numId="33">
    <w:abstractNumId w:val="7"/>
  </w:num>
  <w:num w:numId="34">
    <w:abstractNumId w:val="25"/>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bordersDoNotSurroundHeader w:val="1"/>
  <w:bordersDoNotSurroundFooter w:val="1"/>
  <w:attachedTemplate r:id="rId1"/>
  <w:documentProtection w:edit="forms" w:enforcement="1" w:cryptProviderType="rsaAES" w:cryptAlgorithmClass="hash" w:cryptAlgorithmType="typeAny" w:cryptAlgorithmSid="14" w:cryptSpinCount="100000" w:hash="7BLt6FD5jlucldOJtaoQYaLW1Wv+bq6DUtxtVvSKNUP7+LFRlhro6kTdj4+x88gzel/vTRuN7nCKwMlrrvxe/g==" w:salt="5UnJrXrrx31sYW6dVOMA8A=="/>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WU3ZjU3NzNhMzc2ZjEzYmJiNTJlYTczYzNkNGY1MmEifQ=="/>
    <w:docVar w:name="KSO_WPS_MARK_KEY" w:val="f94b24ae-ad10-493f-b7ca-742b5ce229db"/>
  </w:docVars>
  <w:rsids>
    <w:rsidRoot w:val="001B65E5"/>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69C4"/>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6D49"/>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6AB7"/>
    <w:rsid w:val="000C6C67"/>
    <w:rsid w:val="000C7666"/>
    <w:rsid w:val="000D0A9C"/>
    <w:rsid w:val="000D1795"/>
    <w:rsid w:val="000D3261"/>
    <w:rsid w:val="000D329A"/>
    <w:rsid w:val="000D4B9C"/>
    <w:rsid w:val="000D4EB6"/>
    <w:rsid w:val="000D753B"/>
    <w:rsid w:val="000E4C9E"/>
    <w:rsid w:val="000E6778"/>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D46"/>
    <w:rsid w:val="00173FB1"/>
    <w:rsid w:val="00176DFD"/>
    <w:rsid w:val="0018250E"/>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65E5"/>
    <w:rsid w:val="001B71D0"/>
    <w:rsid w:val="001B71EE"/>
    <w:rsid w:val="001C04A8"/>
    <w:rsid w:val="001C265D"/>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5650"/>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65"/>
    <w:rsid w:val="002C5278"/>
    <w:rsid w:val="002C67A9"/>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1826"/>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170"/>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D74CE"/>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27B6A"/>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4F76B5"/>
    <w:rsid w:val="00501139"/>
    <w:rsid w:val="00502B7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27055"/>
    <w:rsid w:val="00533D04"/>
    <w:rsid w:val="00534804"/>
    <w:rsid w:val="00534BDF"/>
    <w:rsid w:val="005354EA"/>
    <w:rsid w:val="0053585F"/>
    <w:rsid w:val="00535EC4"/>
    <w:rsid w:val="00535ED9"/>
    <w:rsid w:val="00536159"/>
    <w:rsid w:val="0053692B"/>
    <w:rsid w:val="00541853"/>
    <w:rsid w:val="00543BDA"/>
    <w:rsid w:val="005441CC"/>
    <w:rsid w:val="005479DA"/>
    <w:rsid w:val="00547B49"/>
    <w:rsid w:val="00547BCC"/>
    <w:rsid w:val="0055013B"/>
    <w:rsid w:val="00550635"/>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0A97"/>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2696B"/>
    <w:rsid w:val="006275B3"/>
    <w:rsid w:val="00632182"/>
    <w:rsid w:val="00632AE0"/>
    <w:rsid w:val="00633C17"/>
    <w:rsid w:val="00634D9E"/>
    <w:rsid w:val="00636E3E"/>
    <w:rsid w:val="006379F7"/>
    <w:rsid w:val="00637E4D"/>
    <w:rsid w:val="00640620"/>
    <w:rsid w:val="00641A1F"/>
    <w:rsid w:val="00645904"/>
    <w:rsid w:val="00646E14"/>
    <w:rsid w:val="00651ACB"/>
    <w:rsid w:val="00651C47"/>
    <w:rsid w:val="00652AB2"/>
    <w:rsid w:val="00653FED"/>
    <w:rsid w:val="00654EC0"/>
    <w:rsid w:val="0065525B"/>
    <w:rsid w:val="00655D4F"/>
    <w:rsid w:val="00656D29"/>
    <w:rsid w:val="006640E5"/>
    <w:rsid w:val="006646F1"/>
    <w:rsid w:val="00664929"/>
    <w:rsid w:val="00664F62"/>
    <w:rsid w:val="006655E1"/>
    <w:rsid w:val="00666DEA"/>
    <w:rsid w:val="00670C6A"/>
    <w:rsid w:val="00672060"/>
    <w:rsid w:val="00672BFD"/>
    <w:rsid w:val="006770F4"/>
    <w:rsid w:val="00677A84"/>
    <w:rsid w:val="006801EA"/>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4FE4"/>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4604"/>
    <w:rsid w:val="00755402"/>
    <w:rsid w:val="00756B26"/>
    <w:rsid w:val="00756EDF"/>
    <w:rsid w:val="007600E3"/>
    <w:rsid w:val="00765C43"/>
    <w:rsid w:val="00765EFB"/>
    <w:rsid w:val="007671CA"/>
    <w:rsid w:val="00767C61"/>
    <w:rsid w:val="0077008A"/>
    <w:rsid w:val="00772374"/>
    <w:rsid w:val="00773C1F"/>
    <w:rsid w:val="00774DA4"/>
    <w:rsid w:val="00776599"/>
    <w:rsid w:val="0078114B"/>
    <w:rsid w:val="00781DD2"/>
    <w:rsid w:val="00783ECF"/>
    <w:rsid w:val="0078413A"/>
    <w:rsid w:val="007959E8"/>
    <w:rsid w:val="00795E9C"/>
    <w:rsid w:val="007A0521"/>
    <w:rsid w:val="007A2E12"/>
    <w:rsid w:val="007A3475"/>
    <w:rsid w:val="007A41C8"/>
    <w:rsid w:val="007A4D58"/>
    <w:rsid w:val="007A54CE"/>
    <w:rsid w:val="007A5D3A"/>
    <w:rsid w:val="007A6FD9"/>
    <w:rsid w:val="007A7FFA"/>
    <w:rsid w:val="007B04EB"/>
    <w:rsid w:val="007B0D4F"/>
    <w:rsid w:val="007B451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251D"/>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0F53"/>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3FF"/>
    <w:rsid w:val="008E0895"/>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402C"/>
    <w:rsid w:val="009062E6"/>
    <w:rsid w:val="00911BE5"/>
    <w:rsid w:val="00913CA9"/>
    <w:rsid w:val="009145AE"/>
    <w:rsid w:val="009146CE"/>
    <w:rsid w:val="00914CA7"/>
    <w:rsid w:val="00915C3E"/>
    <w:rsid w:val="009161A8"/>
    <w:rsid w:val="00916B23"/>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1CEA"/>
    <w:rsid w:val="00A129D0"/>
    <w:rsid w:val="00A12C33"/>
    <w:rsid w:val="00A138BA"/>
    <w:rsid w:val="00A14C8E"/>
    <w:rsid w:val="00A153D9"/>
    <w:rsid w:val="00A15F09"/>
    <w:rsid w:val="00A169B6"/>
    <w:rsid w:val="00A2271D"/>
    <w:rsid w:val="00A237D5"/>
    <w:rsid w:val="00A30EFC"/>
    <w:rsid w:val="00A31984"/>
    <w:rsid w:val="00A32412"/>
    <w:rsid w:val="00A3290A"/>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5B48"/>
    <w:rsid w:val="00AE070A"/>
    <w:rsid w:val="00AE101C"/>
    <w:rsid w:val="00AE2A69"/>
    <w:rsid w:val="00AE37E5"/>
    <w:rsid w:val="00AE5EB4"/>
    <w:rsid w:val="00AF0C18"/>
    <w:rsid w:val="00AF47C5"/>
    <w:rsid w:val="00AF5398"/>
    <w:rsid w:val="00AF6533"/>
    <w:rsid w:val="00B049AF"/>
    <w:rsid w:val="00B06136"/>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4DD7"/>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83D"/>
    <w:rsid w:val="00BE5B52"/>
    <w:rsid w:val="00BE7B8D"/>
    <w:rsid w:val="00BF0993"/>
    <w:rsid w:val="00BF10A9"/>
    <w:rsid w:val="00BF1703"/>
    <w:rsid w:val="00BF231C"/>
    <w:rsid w:val="00BF51E5"/>
    <w:rsid w:val="00BF74A6"/>
    <w:rsid w:val="00C013AD"/>
    <w:rsid w:val="00C04904"/>
    <w:rsid w:val="00C056B3"/>
    <w:rsid w:val="00C103E5"/>
    <w:rsid w:val="00C1300B"/>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45385"/>
    <w:rsid w:val="00C521D6"/>
    <w:rsid w:val="00C55232"/>
    <w:rsid w:val="00C553A4"/>
    <w:rsid w:val="00C55A06"/>
    <w:rsid w:val="00C55D03"/>
    <w:rsid w:val="00C601BC"/>
    <w:rsid w:val="00C6329F"/>
    <w:rsid w:val="00C63340"/>
    <w:rsid w:val="00C643F9"/>
    <w:rsid w:val="00C64E95"/>
    <w:rsid w:val="00C65DAB"/>
    <w:rsid w:val="00C71372"/>
    <w:rsid w:val="00C7140C"/>
    <w:rsid w:val="00C72410"/>
    <w:rsid w:val="00C7287F"/>
    <w:rsid w:val="00C767FA"/>
    <w:rsid w:val="00C80CB8"/>
    <w:rsid w:val="00C819F8"/>
    <w:rsid w:val="00C8248C"/>
    <w:rsid w:val="00C84E33"/>
    <w:rsid w:val="00C86D6F"/>
    <w:rsid w:val="00C905FC"/>
    <w:rsid w:val="00C92D03"/>
    <w:rsid w:val="00C9319C"/>
    <w:rsid w:val="00C9435D"/>
    <w:rsid w:val="00C94DF2"/>
    <w:rsid w:val="00C9523B"/>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37F3C"/>
    <w:rsid w:val="00D4162B"/>
    <w:rsid w:val="00D4302C"/>
    <w:rsid w:val="00D4514F"/>
    <w:rsid w:val="00D451E2"/>
    <w:rsid w:val="00D45E89"/>
    <w:rsid w:val="00D45E8D"/>
    <w:rsid w:val="00D466AE"/>
    <w:rsid w:val="00D4734F"/>
    <w:rsid w:val="00D51BF3"/>
    <w:rsid w:val="00D63ADA"/>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15D1E"/>
    <w:rsid w:val="00E202EF"/>
    <w:rsid w:val="00E210B5"/>
    <w:rsid w:val="00E24B9C"/>
    <w:rsid w:val="00E2552F"/>
    <w:rsid w:val="00E3137A"/>
    <w:rsid w:val="00E32CCF"/>
    <w:rsid w:val="00E34A98"/>
    <w:rsid w:val="00E35D1E"/>
    <w:rsid w:val="00E364F9"/>
    <w:rsid w:val="00E365FA"/>
    <w:rsid w:val="00E36789"/>
    <w:rsid w:val="00E40093"/>
    <w:rsid w:val="00E44A83"/>
    <w:rsid w:val="00E502C1"/>
    <w:rsid w:val="00E502DD"/>
    <w:rsid w:val="00E50D3A"/>
    <w:rsid w:val="00E51387"/>
    <w:rsid w:val="00E51E68"/>
    <w:rsid w:val="00E52EFD"/>
    <w:rsid w:val="00E5408A"/>
    <w:rsid w:val="00E56800"/>
    <w:rsid w:val="00E60C63"/>
    <w:rsid w:val="00E61BC0"/>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99E"/>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38C6"/>
    <w:rsid w:val="00EE613F"/>
    <w:rsid w:val="00EE7295"/>
    <w:rsid w:val="00EE7869"/>
    <w:rsid w:val="00EF054A"/>
    <w:rsid w:val="00EF3235"/>
    <w:rsid w:val="00EF7691"/>
    <w:rsid w:val="00EF7E72"/>
    <w:rsid w:val="00F06D37"/>
    <w:rsid w:val="00F07B9D"/>
    <w:rsid w:val="00F11586"/>
    <w:rsid w:val="00F1183B"/>
    <w:rsid w:val="00F11C9F"/>
    <w:rsid w:val="00F12263"/>
    <w:rsid w:val="00F1409D"/>
    <w:rsid w:val="00F14214"/>
    <w:rsid w:val="00F157A9"/>
    <w:rsid w:val="00F16F00"/>
    <w:rsid w:val="00F25ACC"/>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56B72"/>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18FA"/>
    <w:rsid w:val="00FC2CB7"/>
    <w:rsid w:val="00FC4090"/>
    <w:rsid w:val="00FC55B4"/>
    <w:rsid w:val="00FC7CD8"/>
    <w:rsid w:val="00FD00E6"/>
    <w:rsid w:val="00FD0703"/>
    <w:rsid w:val="00FD09A1"/>
    <w:rsid w:val="00FD2A7C"/>
    <w:rsid w:val="00FD59EB"/>
    <w:rsid w:val="00FD7299"/>
    <w:rsid w:val="00FE1FBE"/>
    <w:rsid w:val="00FE2F24"/>
    <w:rsid w:val="00FE3901"/>
    <w:rsid w:val="00FE39D3"/>
    <w:rsid w:val="00FE4BCE"/>
    <w:rsid w:val="00FE54AE"/>
    <w:rsid w:val="00FE576A"/>
    <w:rsid w:val="00FE7E79"/>
    <w:rsid w:val="00FF3E7D"/>
    <w:rsid w:val="00FF5B99"/>
    <w:rsid w:val="00FF730C"/>
    <w:rsid w:val="00FF73F4"/>
    <w:rsid w:val="00FF7CE4"/>
    <w:rsid w:val="00FF7E39"/>
    <w:rsid w:val="09506CD3"/>
    <w:rsid w:val="0AAE7E92"/>
    <w:rsid w:val="18AD029B"/>
    <w:rsid w:val="26C82522"/>
    <w:rsid w:val="296D2341"/>
    <w:rsid w:val="2FE233F3"/>
    <w:rsid w:val="3EB24654"/>
    <w:rsid w:val="43DD1A90"/>
    <w:rsid w:val="517D00CC"/>
    <w:rsid w:val="54D95F35"/>
    <w:rsid w:val="57A06424"/>
    <w:rsid w:val="5C885101"/>
    <w:rsid w:val="602E34A0"/>
    <w:rsid w:val="66E730C3"/>
    <w:rsid w:val="6CAD2EE1"/>
    <w:rsid w:val="6DD25A57"/>
    <w:rsid w:val="787951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8"/>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0"/>
    <w:pPr>
      <w:keepNext/>
      <w:keepLines/>
      <w:spacing w:before="260" w:after="260" w:line="416" w:lineRule="auto"/>
      <w:outlineLvl w:val="2"/>
    </w:pPr>
    <w:rPr>
      <w:b/>
      <w:bCs/>
      <w:sz w:val="32"/>
      <w:szCs w:val="32"/>
    </w:rPr>
  </w:style>
  <w:style w:type="paragraph" w:styleId="5">
    <w:name w:val="heading 4"/>
    <w:basedOn w:val="1"/>
    <w:next w:val="1"/>
    <w:link w:val="4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2"/>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3"/>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4"/>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5"/>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6"/>
    <w:qFormat/>
    <w:uiPriority w:val="0"/>
    <w:pPr>
      <w:keepNext/>
      <w:keepLines/>
      <w:adjustRightInd/>
      <w:spacing w:before="240" w:after="64" w:line="320" w:lineRule="auto"/>
      <w:outlineLvl w:val="8"/>
    </w:pPr>
    <w:rPr>
      <w:rFonts w:ascii="Arial" w:hAnsi="Arial" w:eastAsia="黑体"/>
    </w:rPr>
  </w:style>
  <w:style w:type="character" w:default="1" w:styleId="31">
    <w:name w:val="Default Paragraph Font"/>
    <w:semiHidden/>
    <w:unhideWhenUsed/>
    <w:uiPriority w:val="1"/>
  </w:style>
  <w:style w:type="table" w:default="1" w:styleId="29">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34"/>
    <w:unhideWhenUsed/>
    <w:qFormat/>
    <w:uiPriority w:val="99"/>
    <w:pPr>
      <w:jc w:val="left"/>
    </w:pPr>
  </w:style>
  <w:style w:type="paragraph" w:styleId="14">
    <w:name w:val="Body Text"/>
    <w:basedOn w:val="1"/>
    <w:link w:val="90"/>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9"/>
    <w:semiHidden/>
    <w:unhideWhenUsed/>
    <w:qFormat/>
    <w:uiPriority w:val="99"/>
    <w:rPr>
      <w:sz w:val="18"/>
      <w:szCs w:val="18"/>
    </w:rPr>
  </w:style>
  <w:style w:type="paragraph" w:styleId="18">
    <w:name w:val="footer"/>
    <w:basedOn w:val="1"/>
    <w:link w:val="48"/>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7"/>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3"/>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Normal (Web)"/>
    <w:basedOn w:val="1"/>
    <w:semiHidden/>
    <w:unhideWhenUsed/>
    <w:qFormat/>
    <w:uiPriority w:val="99"/>
    <w:pPr>
      <w:spacing w:beforeAutospacing="1" w:afterAutospacing="1"/>
      <w:jc w:val="left"/>
    </w:pPr>
    <w:rPr>
      <w:kern w:val="0"/>
      <w:sz w:val="24"/>
    </w:rPr>
  </w:style>
  <w:style w:type="paragraph" w:styleId="27">
    <w:name w:val="Title"/>
    <w:basedOn w:val="1"/>
    <w:link w:val="52"/>
    <w:qFormat/>
    <w:uiPriority w:val="0"/>
    <w:pPr>
      <w:spacing w:before="240" w:after="60"/>
      <w:jc w:val="center"/>
      <w:outlineLvl w:val="0"/>
    </w:pPr>
    <w:rPr>
      <w:rFonts w:ascii="Arial" w:hAnsi="Arial" w:cs="Arial"/>
      <w:b/>
      <w:bCs/>
      <w:sz w:val="32"/>
      <w:szCs w:val="32"/>
    </w:rPr>
  </w:style>
  <w:style w:type="paragraph" w:styleId="28">
    <w:name w:val="annotation subject"/>
    <w:basedOn w:val="13"/>
    <w:next w:val="13"/>
    <w:link w:val="235"/>
    <w:semiHidden/>
    <w:unhideWhenUsed/>
    <w:qFormat/>
    <w:uiPriority w:val="99"/>
    <w:rPr>
      <w:b/>
      <w:bCs/>
    </w:rPr>
  </w:style>
  <w:style w:type="table" w:styleId="30">
    <w:name w:val="Table Grid"/>
    <w:basedOn w:val="2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Strong"/>
    <w:qFormat/>
    <w:uiPriority w:val="22"/>
    <w:rPr>
      <w:b/>
      <w:bCs/>
    </w:rPr>
  </w:style>
  <w:style w:type="character" w:styleId="33">
    <w:name w:val="page number"/>
    <w:qFormat/>
    <w:uiPriority w:val="0"/>
    <w:rPr>
      <w:rFonts w:ascii="宋体" w:hAnsi="Times New Roman" w:eastAsia="宋体"/>
      <w:sz w:val="18"/>
    </w:rPr>
  </w:style>
  <w:style w:type="character" w:styleId="34">
    <w:name w:val="Emphasis"/>
    <w:qFormat/>
    <w:uiPriority w:val="20"/>
    <w:rPr>
      <w:i/>
      <w:iCs/>
    </w:rPr>
  </w:style>
  <w:style w:type="character" w:styleId="35">
    <w:name w:val="Hyperlink"/>
    <w:qFormat/>
    <w:uiPriority w:val="99"/>
    <w:rPr>
      <w:rFonts w:ascii="宋体" w:hAnsi="Times New Roman" w:eastAsia="宋体"/>
      <w:color w:val="auto"/>
      <w:spacing w:val="0"/>
      <w:w w:val="100"/>
      <w:position w:val="0"/>
      <w:sz w:val="21"/>
      <w:u w:val="none"/>
      <w:vertAlign w:val="baseline"/>
    </w:rPr>
  </w:style>
  <w:style w:type="character" w:styleId="36">
    <w:name w:val="annotation reference"/>
    <w:basedOn w:val="31"/>
    <w:semiHidden/>
    <w:unhideWhenUsed/>
    <w:qFormat/>
    <w:uiPriority w:val="99"/>
    <w:rPr>
      <w:sz w:val="21"/>
      <w:szCs w:val="21"/>
    </w:rPr>
  </w:style>
  <w:style w:type="character" w:styleId="37">
    <w:name w:val="footnote reference"/>
    <w:semiHidden/>
    <w:qFormat/>
    <w:uiPriority w:val="0"/>
    <w:rPr>
      <w:rFonts w:ascii="宋体" w:hAnsi="宋体" w:eastAsia="宋体" w:cs="Times New Roman"/>
      <w:spacing w:val="0"/>
      <w:sz w:val="18"/>
      <w:vertAlign w:val="superscript"/>
    </w:rPr>
  </w:style>
  <w:style w:type="character" w:customStyle="1" w:styleId="38">
    <w:name w:val="标题 1 字符"/>
    <w:link w:val="2"/>
    <w:qFormat/>
    <w:uiPriority w:val="0"/>
    <w:rPr>
      <w:b/>
      <w:bCs/>
      <w:kern w:val="44"/>
      <w:sz w:val="44"/>
      <w:szCs w:val="44"/>
    </w:rPr>
  </w:style>
  <w:style w:type="character" w:customStyle="1" w:styleId="39">
    <w:name w:val="标题 2 字符"/>
    <w:link w:val="3"/>
    <w:qFormat/>
    <w:uiPriority w:val="0"/>
    <w:rPr>
      <w:rFonts w:ascii="Arial" w:hAnsi="Arial" w:eastAsia="黑体"/>
      <w:b/>
      <w:bCs/>
      <w:kern w:val="2"/>
      <w:sz w:val="32"/>
      <w:szCs w:val="32"/>
    </w:rPr>
  </w:style>
  <w:style w:type="character" w:customStyle="1" w:styleId="40">
    <w:name w:val="标题 3 字符"/>
    <w:link w:val="4"/>
    <w:qFormat/>
    <w:uiPriority w:val="0"/>
    <w:rPr>
      <w:b/>
      <w:bCs/>
      <w:kern w:val="2"/>
      <w:sz w:val="32"/>
      <w:szCs w:val="32"/>
    </w:rPr>
  </w:style>
  <w:style w:type="character" w:customStyle="1" w:styleId="41">
    <w:name w:val="标题 4 字符"/>
    <w:link w:val="5"/>
    <w:qFormat/>
    <w:uiPriority w:val="0"/>
    <w:rPr>
      <w:rFonts w:ascii="Arial" w:hAnsi="Arial" w:eastAsia="黑体"/>
      <w:b/>
      <w:bCs/>
      <w:kern w:val="2"/>
      <w:sz w:val="28"/>
      <w:szCs w:val="28"/>
    </w:rPr>
  </w:style>
  <w:style w:type="character" w:customStyle="1" w:styleId="42">
    <w:name w:val="标题 5 字符"/>
    <w:link w:val="6"/>
    <w:qFormat/>
    <w:uiPriority w:val="0"/>
    <w:rPr>
      <w:b/>
      <w:bCs/>
      <w:kern w:val="2"/>
      <w:sz w:val="28"/>
      <w:szCs w:val="28"/>
    </w:rPr>
  </w:style>
  <w:style w:type="character" w:customStyle="1" w:styleId="43">
    <w:name w:val="标题 6 字符"/>
    <w:link w:val="7"/>
    <w:qFormat/>
    <w:uiPriority w:val="0"/>
    <w:rPr>
      <w:rFonts w:ascii="Arial" w:hAnsi="Arial" w:eastAsia="黑体"/>
      <w:b/>
      <w:bCs/>
      <w:kern w:val="2"/>
      <w:sz w:val="24"/>
      <w:szCs w:val="24"/>
    </w:rPr>
  </w:style>
  <w:style w:type="character" w:customStyle="1" w:styleId="44">
    <w:name w:val="标题 7 字符"/>
    <w:link w:val="8"/>
    <w:qFormat/>
    <w:uiPriority w:val="0"/>
    <w:rPr>
      <w:b/>
      <w:bCs/>
      <w:kern w:val="2"/>
      <w:sz w:val="24"/>
      <w:szCs w:val="24"/>
    </w:rPr>
  </w:style>
  <w:style w:type="character" w:customStyle="1" w:styleId="45">
    <w:name w:val="标题 8 字符"/>
    <w:link w:val="9"/>
    <w:qFormat/>
    <w:uiPriority w:val="0"/>
    <w:rPr>
      <w:rFonts w:ascii="Arial" w:hAnsi="Arial" w:eastAsia="黑体"/>
      <w:kern w:val="2"/>
      <w:sz w:val="24"/>
      <w:szCs w:val="24"/>
    </w:rPr>
  </w:style>
  <w:style w:type="character" w:customStyle="1" w:styleId="46">
    <w:name w:val="标题 9 字符"/>
    <w:link w:val="10"/>
    <w:qFormat/>
    <w:uiPriority w:val="0"/>
    <w:rPr>
      <w:rFonts w:ascii="Arial" w:hAnsi="Arial" w:eastAsia="黑体"/>
      <w:kern w:val="2"/>
      <w:sz w:val="21"/>
      <w:szCs w:val="21"/>
    </w:rPr>
  </w:style>
  <w:style w:type="character" w:customStyle="1" w:styleId="47">
    <w:name w:val="页眉 字符"/>
    <w:link w:val="19"/>
    <w:qFormat/>
    <w:uiPriority w:val="99"/>
    <w:rPr>
      <w:kern w:val="2"/>
      <w:sz w:val="18"/>
      <w:szCs w:val="18"/>
    </w:rPr>
  </w:style>
  <w:style w:type="character" w:customStyle="1" w:styleId="48">
    <w:name w:val="页脚 字符"/>
    <w:link w:val="18"/>
    <w:qFormat/>
    <w:uiPriority w:val="99"/>
    <w:rPr>
      <w:rFonts w:ascii="宋体"/>
      <w:kern w:val="2"/>
      <w:sz w:val="18"/>
      <w:szCs w:val="18"/>
    </w:rPr>
  </w:style>
  <w:style w:type="character" w:customStyle="1" w:styleId="49">
    <w:name w:val="批注框文本 字符"/>
    <w:link w:val="17"/>
    <w:semiHidden/>
    <w:qFormat/>
    <w:uiPriority w:val="99"/>
    <w:rPr>
      <w:kern w:val="2"/>
      <w:sz w:val="18"/>
      <w:szCs w:val="18"/>
    </w:rPr>
  </w:style>
  <w:style w:type="paragraph" w:styleId="50">
    <w:name w:val="Quote"/>
    <w:basedOn w:val="1"/>
    <w:next w:val="1"/>
    <w:link w:val="51"/>
    <w:qFormat/>
    <w:uiPriority w:val="29"/>
    <w:rPr>
      <w:i/>
      <w:iCs/>
      <w:color w:val="000000"/>
    </w:rPr>
  </w:style>
  <w:style w:type="character" w:customStyle="1" w:styleId="51">
    <w:name w:val="引用 字符"/>
    <w:link w:val="50"/>
    <w:qFormat/>
    <w:uiPriority w:val="29"/>
    <w:rPr>
      <w:i/>
      <w:iCs/>
      <w:color w:val="000000"/>
      <w:kern w:val="2"/>
      <w:sz w:val="21"/>
      <w:szCs w:val="21"/>
    </w:rPr>
  </w:style>
  <w:style w:type="character" w:customStyle="1" w:styleId="52">
    <w:name w:val="标题 字符"/>
    <w:link w:val="27"/>
    <w:qFormat/>
    <w:uiPriority w:val="0"/>
    <w:rPr>
      <w:rFonts w:ascii="Arial" w:hAnsi="Arial" w:cs="Arial"/>
      <w:b/>
      <w:bCs/>
      <w:kern w:val="2"/>
      <w:sz w:val="32"/>
      <w:szCs w:val="32"/>
    </w:rPr>
  </w:style>
  <w:style w:type="paragraph" w:customStyle="1" w:styleId="53">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4">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5">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6">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7">
    <w:name w:val="标准书眉一"/>
    <w:qFormat/>
    <w:uiPriority w:val="0"/>
    <w:pPr>
      <w:jc w:val="both"/>
    </w:pPr>
    <w:rPr>
      <w:rFonts w:ascii="Times New Roman" w:hAnsi="Times New Roman" w:eastAsia="宋体" w:cs="Times New Roman"/>
      <w:lang w:val="en-US" w:eastAsia="zh-CN" w:bidi="ar-SA"/>
    </w:rPr>
  </w:style>
  <w:style w:type="paragraph" w:customStyle="1" w:styleId="58">
    <w:name w:val="标准文件_ICS"/>
    <w:basedOn w:val="1"/>
    <w:qFormat/>
    <w:uiPriority w:val="0"/>
    <w:pPr>
      <w:spacing w:line="0" w:lineRule="atLeast"/>
    </w:pPr>
    <w:rPr>
      <w:rFonts w:ascii="黑体" w:hAnsi="宋体" w:eastAsia="黑体"/>
    </w:rPr>
  </w:style>
  <w:style w:type="paragraph" w:customStyle="1" w:styleId="59">
    <w:name w:val="标准文件_标准正文"/>
    <w:basedOn w:val="1"/>
    <w:next w:val="60"/>
    <w:qFormat/>
    <w:uiPriority w:val="0"/>
    <w:pPr>
      <w:snapToGrid w:val="0"/>
      <w:ind w:firstLine="200" w:firstLineChars="200"/>
    </w:pPr>
    <w:rPr>
      <w:kern w:val="0"/>
    </w:rPr>
  </w:style>
  <w:style w:type="paragraph" w:customStyle="1" w:styleId="60">
    <w:name w:val="标准文件_段"/>
    <w:link w:val="188"/>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1">
    <w:name w:val="标准文件_版本"/>
    <w:basedOn w:val="59"/>
    <w:qFormat/>
    <w:uiPriority w:val="0"/>
    <w:pPr>
      <w:adjustRightInd/>
      <w:snapToGrid/>
      <w:ind w:firstLine="0" w:firstLineChars="0"/>
    </w:pPr>
    <w:rPr>
      <w:rFonts w:ascii="宋体" w:hAnsi="宋体"/>
      <w:kern w:val="2"/>
    </w:rPr>
  </w:style>
  <w:style w:type="paragraph" w:customStyle="1" w:styleId="62">
    <w:name w:val="标准文件_标准部门"/>
    <w:basedOn w:val="1"/>
    <w:qFormat/>
    <w:uiPriority w:val="0"/>
    <w:pPr>
      <w:jc w:val="center"/>
    </w:pPr>
    <w:rPr>
      <w:rFonts w:ascii="黑体" w:eastAsia="黑体"/>
      <w:kern w:val="0"/>
      <w:sz w:val="44"/>
    </w:rPr>
  </w:style>
  <w:style w:type="paragraph" w:customStyle="1" w:styleId="63">
    <w:name w:val="标准文件_标准代替"/>
    <w:basedOn w:val="1"/>
    <w:next w:val="1"/>
    <w:qFormat/>
    <w:uiPriority w:val="0"/>
    <w:pPr>
      <w:spacing w:line="310" w:lineRule="exact"/>
      <w:jc w:val="right"/>
    </w:pPr>
    <w:rPr>
      <w:rFonts w:ascii="宋体" w:hAnsi="宋体"/>
      <w:kern w:val="0"/>
    </w:rPr>
  </w:style>
  <w:style w:type="paragraph" w:customStyle="1" w:styleId="64">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5">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6">
    <w:name w:val="标准文件_页眉偶数页"/>
    <w:basedOn w:val="65"/>
    <w:next w:val="1"/>
    <w:qFormat/>
    <w:uiPriority w:val="0"/>
    <w:pPr>
      <w:jc w:val="left"/>
    </w:pPr>
  </w:style>
  <w:style w:type="paragraph" w:customStyle="1" w:styleId="67">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8">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9">
    <w:name w:val="标准文件_二级条标题"/>
    <w:next w:val="60"/>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70">
    <w:name w:val="标准文件_发布"/>
    <w:qFormat/>
    <w:uiPriority w:val="0"/>
    <w:rPr>
      <w:rFonts w:ascii="黑体" w:eastAsia="黑体"/>
      <w:spacing w:val="0"/>
      <w:w w:val="100"/>
      <w:position w:val="3"/>
      <w:sz w:val="28"/>
    </w:rPr>
  </w:style>
  <w:style w:type="paragraph" w:customStyle="1" w:styleId="71">
    <w:name w:val="标准文件_方框数字列项"/>
    <w:basedOn w:val="60"/>
    <w:qFormat/>
    <w:uiPriority w:val="0"/>
    <w:pPr>
      <w:numPr>
        <w:ilvl w:val="0"/>
        <w:numId w:val="3"/>
      </w:numPr>
      <w:ind w:firstLine="0" w:firstLineChars="0"/>
    </w:pPr>
  </w:style>
  <w:style w:type="paragraph" w:customStyle="1" w:styleId="72">
    <w:name w:val="标准文件_封面标准编号"/>
    <w:basedOn w:val="1"/>
    <w:next w:val="63"/>
    <w:qFormat/>
    <w:uiPriority w:val="0"/>
    <w:pPr>
      <w:spacing w:line="310" w:lineRule="exact"/>
      <w:jc w:val="right"/>
    </w:pPr>
    <w:rPr>
      <w:rFonts w:ascii="黑体" w:eastAsia="黑体"/>
      <w:kern w:val="0"/>
      <w:sz w:val="28"/>
    </w:rPr>
  </w:style>
  <w:style w:type="paragraph" w:customStyle="1" w:styleId="73">
    <w:name w:val="标准文件_封面标准分类号"/>
    <w:basedOn w:val="1"/>
    <w:qFormat/>
    <w:uiPriority w:val="0"/>
    <w:rPr>
      <w:rFonts w:ascii="黑体" w:eastAsia="黑体"/>
      <w:b/>
      <w:kern w:val="0"/>
      <w:sz w:val="28"/>
    </w:rPr>
  </w:style>
  <w:style w:type="paragraph" w:customStyle="1" w:styleId="74">
    <w:name w:val="标准文件_封面标准名称"/>
    <w:basedOn w:val="1"/>
    <w:qFormat/>
    <w:uiPriority w:val="0"/>
    <w:pPr>
      <w:spacing w:line="240" w:lineRule="auto"/>
      <w:jc w:val="center"/>
    </w:pPr>
    <w:rPr>
      <w:rFonts w:ascii="黑体" w:eastAsia="黑体"/>
      <w:kern w:val="0"/>
      <w:sz w:val="52"/>
    </w:rPr>
  </w:style>
  <w:style w:type="paragraph" w:customStyle="1" w:styleId="75">
    <w:name w:val="标准文件_封面标准英文名称"/>
    <w:basedOn w:val="1"/>
    <w:qFormat/>
    <w:uiPriority w:val="0"/>
    <w:pPr>
      <w:spacing w:line="240" w:lineRule="auto"/>
      <w:jc w:val="center"/>
    </w:pPr>
    <w:rPr>
      <w:rFonts w:ascii="黑体" w:eastAsia="黑体"/>
      <w:b/>
      <w:sz w:val="28"/>
    </w:rPr>
  </w:style>
  <w:style w:type="paragraph" w:customStyle="1" w:styleId="76">
    <w:name w:val="标准文件_封面发布日期"/>
    <w:basedOn w:val="1"/>
    <w:qFormat/>
    <w:uiPriority w:val="0"/>
    <w:pPr>
      <w:spacing w:line="310" w:lineRule="exact"/>
    </w:pPr>
    <w:rPr>
      <w:rFonts w:ascii="黑体" w:eastAsia="黑体"/>
      <w:kern w:val="0"/>
      <w:sz w:val="28"/>
    </w:rPr>
  </w:style>
  <w:style w:type="paragraph" w:customStyle="1" w:styleId="77">
    <w:name w:val="标准文件_封面密级"/>
    <w:basedOn w:val="1"/>
    <w:qFormat/>
    <w:uiPriority w:val="0"/>
    <w:rPr>
      <w:rFonts w:eastAsia="黑体"/>
      <w:sz w:val="32"/>
    </w:rPr>
  </w:style>
  <w:style w:type="paragraph" w:customStyle="1" w:styleId="78">
    <w:name w:val="标准文件_封面实施日期"/>
    <w:basedOn w:val="1"/>
    <w:qFormat/>
    <w:uiPriority w:val="0"/>
    <w:pPr>
      <w:spacing w:line="310" w:lineRule="exact"/>
      <w:jc w:val="right"/>
    </w:pPr>
    <w:rPr>
      <w:rFonts w:ascii="黑体" w:eastAsia="黑体"/>
      <w:sz w:val="28"/>
    </w:rPr>
  </w:style>
  <w:style w:type="paragraph" w:customStyle="1" w:styleId="79">
    <w:name w:val="标准文件_封面抬头"/>
    <w:basedOn w:val="60"/>
    <w:qFormat/>
    <w:uiPriority w:val="0"/>
    <w:pPr>
      <w:adjustRightInd w:val="0"/>
      <w:spacing w:line="800" w:lineRule="exact"/>
      <w:ind w:firstLine="0" w:firstLineChars="0"/>
      <w:jc w:val="distribute"/>
    </w:pPr>
    <w:rPr>
      <w:rFonts w:ascii="黑体" w:eastAsia="黑体"/>
      <w:b/>
      <w:sz w:val="64"/>
    </w:rPr>
  </w:style>
  <w:style w:type="paragraph" w:customStyle="1" w:styleId="80">
    <w:name w:val="标准文件_附录标识"/>
    <w:next w:val="60"/>
    <w:qFormat/>
    <w:uiPriority w:val="0"/>
    <w:pPr>
      <w:numPr>
        <w:ilvl w:val="0"/>
        <w:numId w:val="4"/>
      </w:numPr>
      <w:shd w:val="clear" w:color="FFFFFF" w:fill="FFFFFF"/>
      <w:tabs>
        <w:tab w:val="left" w:pos="6406"/>
      </w:tabs>
      <w:spacing w:before="560" w:after="120" w:afterLines="50"/>
      <w:ind w:left="0"/>
      <w:jc w:val="center"/>
      <w:outlineLvl w:val="0"/>
    </w:pPr>
    <w:rPr>
      <w:rFonts w:ascii="黑体" w:hAnsi="Times New Roman" w:eastAsia="黑体" w:cs="Times New Roman"/>
      <w:sz w:val="21"/>
      <w:lang w:val="en-US" w:eastAsia="zh-CN" w:bidi="ar-SA"/>
    </w:rPr>
  </w:style>
  <w:style w:type="paragraph" w:customStyle="1" w:styleId="81">
    <w:name w:val="标准文件_附录表标题"/>
    <w:next w:val="60"/>
    <w:qFormat/>
    <w:uiPriority w:val="0"/>
    <w:pPr>
      <w:numPr>
        <w:ilvl w:val="1"/>
        <w:numId w:val="5"/>
      </w:numPr>
      <w:adjustRightInd w:val="0"/>
      <w:snapToGrid w:val="0"/>
      <w:spacing w:before="120" w:beforeLines="50" w:after="120" w:afterLines="50"/>
      <w:jc w:val="center"/>
      <w:textAlignment w:val="baseline"/>
    </w:pPr>
    <w:rPr>
      <w:rFonts w:ascii="黑体" w:hAnsi="Times New Roman" w:eastAsia="黑体" w:cs="Times New Roman"/>
      <w:kern w:val="21"/>
      <w:sz w:val="21"/>
      <w:lang w:val="en-US" w:eastAsia="zh-CN" w:bidi="ar-SA"/>
    </w:rPr>
  </w:style>
  <w:style w:type="paragraph" w:customStyle="1" w:styleId="82">
    <w:name w:val="标准文件_附录一级条标题"/>
    <w:next w:val="60"/>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3">
    <w:name w:val="标准文件_附录二级条标题"/>
    <w:basedOn w:val="82"/>
    <w:next w:val="60"/>
    <w:qFormat/>
    <w:uiPriority w:val="0"/>
    <w:pPr>
      <w:widowControl/>
      <w:numPr>
        <w:ilvl w:val="2"/>
      </w:numPr>
      <w:wordWrap w:val="0"/>
      <w:overflowPunct w:val="0"/>
      <w:autoSpaceDE w:val="0"/>
      <w:autoSpaceDN w:val="0"/>
      <w:textAlignment w:val="baseline"/>
      <w:outlineLvl w:val="3"/>
    </w:pPr>
  </w:style>
  <w:style w:type="paragraph" w:customStyle="1" w:styleId="84">
    <w:name w:val="标准文件_附录公式"/>
    <w:basedOn w:val="59"/>
    <w:next w:val="59"/>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5">
    <w:name w:val="标准文件_附录三级条标题"/>
    <w:next w:val="60"/>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6">
    <w:name w:val="标准文件_附录四级条标题"/>
    <w:next w:val="60"/>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7">
    <w:name w:val="标准文件_附录图标题"/>
    <w:next w:val="60"/>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8">
    <w:name w:val="标准文件_附录五级条标题"/>
    <w:next w:val="60"/>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9">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0">
    <w:name w:val="正文文本 字符"/>
    <w:link w:val="14"/>
    <w:qFormat/>
    <w:uiPriority w:val="0"/>
    <w:rPr>
      <w:kern w:val="2"/>
      <w:sz w:val="21"/>
      <w:szCs w:val="21"/>
    </w:rPr>
  </w:style>
  <w:style w:type="paragraph" w:customStyle="1" w:styleId="91">
    <w:name w:val="标准文件_附录章标题"/>
    <w:next w:val="60"/>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2">
    <w:name w:val="标准文件_公式后的破折号"/>
    <w:basedOn w:val="60"/>
    <w:next w:val="60"/>
    <w:qFormat/>
    <w:uiPriority w:val="0"/>
    <w:pPr>
      <w:ind w:left="488" w:leftChars="200" w:hanging="289" w:hangingChars="290"/>
    </w:pPr>
  </w:style>
  <w:style w:type="paragraph" w:customStyle="1" w:styleId="93">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4">
    <w:name w:val="标准文件_目次、标准名称标题"/>
    <w:basedOn w:val="93"/>
    <w:next w:val="60"/>
    <w:qFormat/>
    <w:uiPriority w:val="0"/>
    <w:pPr>
      <w:spacing w:line="460" w:lineRule="exact"/>
      <w:ind w:left="0" w:firstLine="0"/>
    </w:pPr>
  </w:style>
  <w:style w:type="paragraph" w:customStyle="1" w:styleId="95">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6">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7">
    <w:name w:val="标准文件_破折号列项（二级）"/>
    <w:basedOn w:val="96"/>
    <w:qFormat/>
    <w:uiPriority w:val="0"/>
    <w:pPr>
      <w:numPr>
        <w:numId w:val="10"/>
      </w:numPr>
    </w:pPr>
  </w:style>
  <w:style w:type="paragraph" w:customStyle="1" w:styleId="98">
    <w:name w:val="标准文件_三级条标题"/>
    <w:basedOn w:val="69"/>
    <w:next w:val="60"/>
    <w:qFormat/>
    <w:uiPriority w:val="0"/>
    <w:pPr>
      <w:widowControl/>
      <w:numPr>
        <w:ilvl w:val="4"/>
      </w:numPr>
      <w:outlineLvl w:val="3"/>
    </w:pPr>
  </w:style>
  <w:style w:type="character" w:customStyle="1" w:styleId="99">
    <w:name w:val="不明显参考1"/>
    <w:qFormat/>
    <w:uiPriority w:val="31"/>
    <w:rPr>
      <w:smallCaps/>
      <w:color w:val="C0504D"/>
      <w:u w:val="single"/>
    </w:rPr>
  </w:style>
  <w:style w:type="paragraph" w:customStyle="1" w:styleId="100">
    <w:name w:val="标准文件_示例后续"/>
    <w:basedOn w:val="1"/>
    <w:qFormat/>
    <w:uiPriority w:val="0"/>
    <w:pPr>
      <w:adjustRightInd/>
      <w:spacing w:line="240" w:lineRule="auto"/>
      <w:ind w:firstLine="200" w:firstLineChars="200"/>
    </w:pPr>
    <w:rPr>
      <w:sz w:val="18"/>
      <w:szCs w:val="24"/>
    </w:rPr>
  </w:style>
  <w:style w:type="paragraph" w:customStyle="1" w:styleId="101">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2">
    <w:name w:val="标准文件_四级条标题"/>
    <w:next w:val="60"/>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3">
    <w:name w:val="脚注文本 字符"/>
    <w:link w:val="22"/>
    <w:semiHidden/>
    <w:qFormat/>
    <w:uiPriority w:val="0"/>
    <w:rPr>
      <w:rFonts w:ascii="宋体"/>
      <w:kern w:val="2"/>
      <w:sz w:val="18"/>
      <w:szCs w:val="18"/>
    </w:rPr>
  </w:style>
  <w:style w:type="paragraph" w:customStyle="1" w:styleId="104">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5">
    <w:name w:val="标准文件_图表脚注"/>
    <w:basedOn w:val="1"/>
    <w:next w:val="60"/>
    <w:qFormat/>
    <w:uiPriority w:val="0"/>
    <w:pPr>
      <w:numPr>
        <w:ilvl w:val="0"/>
        <w:numId w:val="12"/>
      </w:numPr>
      <w:spacing w:line="240" w:lineRule="auto"/>
      <w:jc w:val="left"/>
    </w:pPr>
    <w:rPr>
      <w:rFonts w:ascii="宋体" w:hAnsi="宋体"/>
      <w:sz w:val="18"/>
    </w:rPr>
  </w:style>
  <w:style w:type="character" w:customStyle="1" w:styleId="106">
    <w:name w:val="标准文件_图表脚注内容"/>
    <w:qFormat/>
    <w:uiPriority w:val="0"/>
    <w:rPr>
      <w:rFonts w:ascii="宋体" w:hAnsi="宋体" w:eastAsia="宋体" w:cs="Times New Roman"/>
      <w:spacing w:val="0"/>
      <w:sz w:val="18"/>
      <w:vertAlign w:val="superscript"/>
    </w:rPr>
  </w:style>
  <w:style w:type="paragraph" w:customStyle="1" w:styleId="107">
    <w:name w:val="标准文件_五级条标题"/>
    <w:next w:val="60"/>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8">
    <w:name w:val="标准文件_章标题"/>
    <w:next w:val="60"/>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9">
    <w:name w:val="标准文件_一级条标题"/>
    <w:basedOn w:val="108"/>
    <w:next w:val="60"/>
    <w:qFormat/>
    <w:uiPriority w:val="0"/>
    <w:pPr>
      <w:numPr>
        <w:ilvl w:val="2"/>
      </w:numPr>
      <w:spacing w:before="50" w:beforeLines="50" w:after="50" w:afterLines="50"/>
      <w:outlineLvl w:val="1"/>
    </w:pPr>
  </w:style>
  <w:style w:type="paragraph" w:customStyle="1" w:styleId="110">
    <w:name w:val="标准文件_一致程度"/>
    <w:basedOn w:val="1"/>
    <w:qFormat/>
    <w:uiPriority w:val="0"/>
    <w:pPr>
      <w:spacing w:line="440" w:lineRule="exact"/>
      <w:jc w:val="center"/>
    </w:pPr>
    <w:rPr>
      <w:sz w:val="28"/>
    </w:rPr>
  </w:style>
  <w:style w:type="paragraph" w:customStyle="1" w:styleId="111">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2">
    <w:name w:val="标准文件_英文图表脚注"/>
    <w:basedOn w:val="59"/>
    <w:qFormat/>
    <w:uiPriority w:val="0"/>
    <w:pPr>
      <w:widowControl/>
      <w:adjustRightInd/>
      <w:snapToGrid/>
      <w:spacing w:line="240" w:lineRule="auto"/>
      <w:ind w:left="79" w:hanging="79" w:hangingChars="80"/>
    </w:pPr>
    <w:rPr>
      <w:rFonts w:ascii="宋体" w:hAnsi="宋体"/>
    </w:rPr>
  </w:style>
  <w:style w:type="paragraph" w:customStyle="1" w:styleId="113">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4">
    <w:name w:val="标准文件_英文注："/>
    <w:basedOn w:val="1"/>
    <w:next w:val="60"/>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5">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6">
    <w:name w:val="标准文件_正文表标题"/>
    <w:next w:val="60"/>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公式"/>
    <w:basedOn w:val="1"/>
    <w:next w:val="59"/>
    <w:qFormat/>
    <w:uiPriority w:val="0"/>
    <w:pPr>
      <w:tabs>
        <w:tab w:val="center" w:pos="4678"/>
        <w:tab w:val="right" w:leader="middleDot" w:pos="9356"/>
      </w:tabs>
      <w:spacing w:line="240" w:lineRule="auto"/>
    </w:pPr>
    <w:rPr>
      <w:rFonts w:ascii="宋体" w:hAnsi="宋体"/>
    </w:rPr>
  </w:style>
  <w:style w:type="paragraph" w:customStyle="1" w:styleId="118">
    <w:name w:val="标准文件_正文图标题"/>
    <w:next w:val="60"/>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9">
    <w:name w:val="标准文件_正文英文表标题"/>
    <w:next w:val="60"/>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0">
    <w:name w:val="标准文件_正文英文图标题"/>
    <w:next w:val="60"/>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1">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2">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3">
    <w:name w:val="发布部门"/>
    <w:next w:val="60"/>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4">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5">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6">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7">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8">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9">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0">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1">
    <w:name w:val="封面正文"/>
    <w:qFormat/>
    <w:uiPriority w:val="0"/>
    <w:pPr>
      <w:jc w:val="both"/>
    </w:pPr>
    <w:rPr>
      <w:rFonts w:ascii="Times New Roman" w:hAnsi="Times New Roman" w:eastAsia="宋体" w:cs="Times New Roman"/>
      <w:lang w:val="en-US" w:eastAsia="zh-CN" w:bidi="ar-SA"/>
    </w:rPr>
  </w:style>
  <w:style w:type="paragraph" w:customStyle="1" w:styleId="132">
    <w:name w:val="附录二级无标题条"/>
    <w:basedOn w:val="1"/>
    <w:next w:val="60"/>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3">
    <w:name w:val="附录三级无标题条"/>
    <w:basedOn w:val="132"/>
    <w:next w:val="60"/>
    <w:qFormat/>
    <w:uiPriority w:val="0"/>
    <w:pPr>
      <w:outlineLvl w:val="4"/>
    </w:pPr>
  </w:style>
  <w:style w:type="paragraph" w:customStyle="1" w:styleId="134">
    <w:name w:val="附录四级无标题条"/>
    <w:basedOn w:val="133"/>
    <w:next w:val="60"/>
    <w:qFormat/>
    <w:uiPriority w:val="0"/>
    <w:pPr>
      <w:outlineLvl w:val="5"/>
    </w:pPr>
  </w:style>
  <w:style w:type="paragraph" w:customStyle="1" w:styleId="135">
    <w:name w:val="附录图"/>
    <w:next w:val="60"/>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6">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7">
    <w:name w:val="附录五级无标题条"/>
    <w:basedOn w:val="134"/>
    <w:next w:val="60"/>
    <w:qFormat/>
    <w:uiPriority w:val="0"/>
    <w:pPr>
      <w:outlineLvl w:val="6"/>
    </w:pPr>
  </w:style>
  <w:style w:type="paragraph" w:customStyle="1" w:styleId="138">
    <w:name w:val="附录性质"/>
    <w:basedOn w:val="1"/>
    <w:qFormat/>
    <w:uiPriority w:val="0"/>
    <w:pPr>
      <w:widowControl/>
      <w:adjustRightInd/>
      <w:jc w:val="center"/>
    </w:pPr>
    <w:rPr>
      <w:rFonts w:ascii="黑体" w:eastAsia="黑体"/>
    </w:rPr>
  </w:style>
  <w:style w:type="paragraph" w:customStyle="1" w:styleId="139">
    <w:name w:val="附录一级无标题条"/>
    <w:basedOn w:val="91"/>
    <w:next w:val="60"/>
    <w:qFormat/>
    <w:uiPriority w:val="0"/>
    <w:pPr>
      <w:autoSpaceDN w:val="0"/>
      <w:outlineLvl w:val="2"/>
    </w:pPr>
    <w:rPr>
      <w:rFonts w:ascii="宋体" w:hAnsi="宋体" w:eastAsia="宋体"/>
    </w:rPr>
  </w:style>
  <w:style w:type="character" w:customStyle="1" w:styleId="140">
    <w:name w:val="个人答复风格"/>
    <w:qFormat/>
    <w:uiPriority w:val="0"/>
    <w:rPr>
      <w:rFonts w:ascii="Arial" w:hAnsi="Arial" w:eastAsia="宋体" w:cs="Arial"/>
      <w:color w:val="auto"/>
      <w:spacing w:val="0"/>
      <w:sz w:val="20"/>
    </w:rPr>
  </w:style>
  <w:style w:type="character" w:customStyle="1" w:styleId="141">
    <w:name w:val="个人撰写风格"/>
    <w:qFormat/>
    <w:uiPriority w:val="0"/>
    <w:rPr>
      <w:rFonts w:ascii="Arial" w:hAnsi="Arial" w:eastAsia="宋体" w:cs="Arial"/>
      <w:color w:val="auto"/>
      <w:spacing w:val="0"/>
      <w:sz w:val="20"/>
    </w:rPr>
  </w:style>
  <w:style w:type="paragraph" w:customStyle="1" w:styleId="142">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3">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4">
    <w:name w:val="列项·"/>
    <w:basedOn w:val="60"/>
    <w:qFormat/>
    <w:uiPriority w:val="0"/>
    <w:pPr>
      <w:tabs>
        <w:tab w:val="left" w:pos="840"/>
      </w:tabs>
    </w:pPr>
  </w:style>
  <w:style w:type="paragraph" w:customStyle="1" w:styleId="145">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6">
    <w:name w:val="目录 21"/>
    <w:basedOn w:val="1"/>
    <w:next w:val="1"/>
    <w:semiHidden/>
    <w:qFormat/>
    <w:uiPriority w:val="0"/>
    <w:pPr>
      <w:adjustRightInd/>
      <w:spacing w:line="240" w:lineRule="auto"/>
      <w:jc w:val="left"/>
    </w:pPr>
    <w:rPr>
      <w:bCs/>
      <w:iCs/>
    </w:rPr>
  </w:style>
  <w:style w:type="paragraph" w:customStyle="1" w:styleId="147">
    <w:name w:val="目录 31"/>
    <w:basedOn w:val="1"/>
    <w:next w:val="1"/>
    <w:semiHidden/>
    <w:qFormat/>
    <w:uiPriority w:val="0"/>
    <w:pPr>
      <w:spacing w:line="240" w:lineRule="auto"/>
    </w:pPr>
    <w:rPr>
      <w:rFonts w:ascii="宋体" w:hAnsi="宋体"/>
      <w:iCs/>
    </w:rPr>
  </w:style>
  <w:style w:type="paragraph" w:customStyle="1" w:styleId="148">
    <w:name w:val="目录 41"/>
    <w:basedOn w:val="1"/>
    <w:next w:val="1"/>
    <w:semiHidden/>
    <w:qFormat/>
    <w:uiPriority w:val="0"/>
    <w:pPr>
      <w:adjustRightInd/>
      <w:spacing w:line="240" w:lineRule="auto"/>
      <w:jc w:val="left"/>
    </w:pPr>
  </w:style>
  <w:style w:type="paragraph" w:customStyle="1" w:styleId="149">
    <w:name w:val="目录 51"/>
    <w:basedOn w:val="1"/>
    <w:next w:val="1"/>
    <w:semiHidden/>
    <w:qFormat/>
    <w:uiPriority w:val="0"/>
    <w:pPr>
      <w:spacing w:line="240" w:lineRule="auto"/>
    </w:pPr>
    <w:rPr>
      <w:rFonts w:ascii="宋体" w:hAnsi="宋体"/>
    </w:rPr>
  </w:style>
  <w:style w:type="paragraph" w:customStyle="1" w:styleId="150">
    <w:name w:val="目录 61"/>
    <w:basedOn w:val="1"/>
    <w:next w:val="1"/>
    <w:semiHidden/>
    <w:qFormat/>
    <w:uiPriority w:val="0"/>
    <w:pPr>
      <w:adjustRightInd/>
      <w:spacing w:line="240" w:lineRule="auto"/>
      <w:jc w:val="left"/>
    </w:pPr>
  </w:style>
  <w:style w:type="paragraph" w:customStyle="1" w:styleId="151">
    <w:name w:val="目录 71"/>
    <w:basedOn w:val="150"/>
    <w:semiHidden/>
    <w:qFormat/>
    <w:uiPriority w:val="0"/>
    <w:pPr>
      <w:ind w:left="1260"/>
    </w:pPr>
  </w:style>
  <w:style w:type="paragraph" w:customStyle="1" w:styleId="152">
    <w:name w:val="目录 81"/>
    <w:basedOn w:val="151"/>
    <w:semiHidden/>
    <w:qFormat/>
    <w:uiPriority w:val="0"/>
    <w:pPr>
      <w:ind w:left="1470"/>
    </w:pPr>
  </w:style>
  <w:style w:type="paragraph" w:customStyle="1" w:styleId="153">
    <w:name w:val="目录 91"/>
    <w:basedOn w:val="152"/>
    <w:semiHidden/>
    <w:qFormat/>
    <w:uiPriority w:val="0"/>
    <w:pPr>
      <w:ind w:left="1680"/>
    </w:pPr>
  </w:style>
  <w:style w:type="paragraph" w:customStyle="1" w:styleId="15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5">
    <w:name w:val="其他发布部门"/>
    <w:basedOn w:val="123"/>
    <w:qFormat/>
    <w:uiPriority w:val="0"/>
    <w:pPr>
      <w:framePr w:wrap="around"/>
      <w:spacing w:line="0" w:lineRule="atLeast"/>
    </w:pPr>
    <w:rPr>
      <w:rFonts w:ascii="黑体" w:eastAsia="黑体"/>
      <w:b w:val="0"/>
    </w:rPr>
  </w:style>
  <w:style w:type="paragraph" w:customStyle="1" w:styleId="156">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7">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8">
    <w:name w:val="实施日期"/>
    <w:basedOn w:val="124"/>
    <w:qFormat/>
    <w:uiPriority w:val="0"/>
    <w:pPr>
      <w:framePr w:hSpace="0" w:wrap="around" w:xAlign="right"/>
      <w:jc w:val="right"/>
    </w:pPr>
  </w:style>
  <w:style w:type="paragraph" w:customStyle="1" w:styleId="159">
    <w:name w:val="四级无标题条"/>
    <w:basedOn w:val="1"/>
    <w:qFormat/>
    <w:uiPriority w:val="0"/>
    <w:pPr>
      <w:numPr>
        <w:ilvl w:val="5"/>
        <w:numId w:val="20"/>
      </w:numPr>
      <w:adjustRightInd/>
      <w:spacing w:line="240" w:lineRule="auto"/>
    </w:pPr>
    <w:rPr>
      <w:rFonts w:ascii="宋体" w:hAnsi="宋体"/>
      <w:szCs w:val="24"/>
    </w:rPr>
  </w:style>
  <w:style w:type="paragraph" w:customStyle="1" w:styleId="160">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1">
    <w:name w:val="无标题条"/>
    <w:next w:val="60"/>
    <w:qFormat/>
    <w:uiPriority w:val="0"/>
    <w:pPr>
      <w:jc w:val="both"/>
    </w:pPr>
    <w:rPr>
      <w:rFonts w:ascii="宋体" w:hAnsi="宋体" w:eastAsia="宋体" w:cs="Times New Roman"/>
      <w:sz w:val="21"/>
      <w:lang w:val="en-US" w:eastAsia="zh-CN" w:bidi="ar-SA"/>
    </w:rPr>
  </w:style>
  <w:style w:type="paragraph" w:customStyle="1" w:styleId="162">
    <w:name w:val="五级无标题条"/>
    <w:basedOn w:val="1"/>
    <w:qFormat/>
    <w:uiPriority w:val="0"/>
    <w:pPr>
      <w:numPr>
        <w:ilvl w:val="6"/>
        <w:numId w:val="20"/>
      </w:numPr>
      <w:adjustRightInd/>
    </w:pPr>
    <w:rPr>
      <w:szCs w:val="24"/>
    </w:rPr>
  </w:style>
  <w:style w:type="paragraph" w:customStyle="1" w:styleId="163">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4">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5">
    <w:name w:val="注×:后续"/>
    <w:basedOn w:val="164"/>
    <w:qFormat/>
    <w:uiPriority w:val="0"/>
    <w:pPr>
      <w:ind w:left="1406" w:leftChars="0" w:hanging="499" w:firstLineChars="0"/>
    </w:pPr>
  </w:style>
  <w:style w:type="paragraph" w:customStyle="1" w:styleId="166">
    <w:name w:val="标准文件_一级无标题"/>
    <w:basedOn w:val="109"/>
    <w:qFormat/>
    <w:uiPriority w:val="0"/>
    <w:pPr>
      <w:spacing w:before="0" w:beforeLines="0" w:after="0" w:afterLines="0"/>
      <w:outlineLvl w:val="9"/>
    </w:pPr>
    <w:rPr>
      <w:rFonts w:ascii="宋体" w:eastAsia="宋体"/>
    </w:rPr>
  </w:style>
  <w:style w:type="paragraph" w:customStyle="1" w:styleId="167">
    <w:name w:val="标准文件_五级无标题"/>
    <w:basedOn w:val="107"/>
    <w:qFormat/>
    <w:uiPriority w:val="0"/>
    <w:pPr>
      <w:spacing w:before="0" w:beforeLines="0" w:after="0" w:afterLines="0"/>
      <w:outlineLvl w:val="9"/>
    </w:pPr>
    <w:rPr>
      <w:rFonts w:ascii="宋体" w:eastAsia="宋体"/>
    </w:rPr>
  </w:style>
  <w:style w:type="paragraph" w:customStyle="1" w:styleId="168">
    <w:name w:val="标准文件_三级无标题"/>
    <w:basedOn w:val="98"/>
    <w:qFormat/>
    <w:uiPriority w:val="0"/>
    <w:pPr>
      <w:spacing w:before="0" w:beforeLines="0" w:after="0" w:afterLines="0"/>
      <w:outlineLvl w:val="9"/>
    </w:pPr>
    <w:rPr>
      <w:rFonts w:ascii="宋体" w:eastAsia="宋体"/>
    </w:rPr>
  </w:style>
  <w:style w:type="paragraph" w:customStyle="1" w:styleId="169">
    <w:name w:val="标准文件_二级无标题"/>
    <w:basedOn w:val="69"/>
    <w:qFormat/>
    <w:uiPriority w:val="0"/>
    <w:pPr>
      <w:spacing w:before="0" w:beforeLines="0" w:after="0" w:afterLines="0"/>
      <w:outlineLvl w:val="9"/>
    </w:pPr>
    <w:rPr>
      <w:rFonts w:ascii="宋体" w:eastAsia="宋体"/>
    </w:rPr>
  </w:style>
  <w:style w:type="paragraph" w:customStyle="1" w:styleId="170">
    <w:name w:val="标准_四级无标题"/>
    <w:basedOn w:val="102"/>
    <w:next w:val="60"/>
    <w:qFormat/>
    <w:uiPriority w:val="0"/>
    <w:rPr>
      <w:rFonts w:eastAsia="宋体"/>
    </w:rPr>
  </w:style>
  <w:style w:type="paragraph" w:customStyle="1" w:styleId="171">
    <w:name w:val="标准文件_四级无标题"/>
    <w:basedOn w:val="102"/>
    <w:qFormat/>
    <w:uiPriority w:val="0"/>
    <w:pPr>
      <w:spacing w:before="0" w:beforeLines="0" w:after="0" w:afterLines="0"/>
      <w:outlineLvl w:val="9"/>
    </w:pPr>
    <w:rPr>
      <w:rFonts w:ascii="宋体" w:hAnsi="黑体" w:eastAsia="宋体"/>
      <w:szCs w:val="52"/>
    </w:rPr>
  </w:style>
  <w:style w:type="paragraph" w:customStyle="1" w:styleId="172">
    <w:name w:val="标准文件_大写罗马数字编号列项"/>
    <w:basedOn w:val="60"/>
    <w:qFormat/>
    <w:uiPriority w:val="0"/>
    <w:pPr>
      <w:numPr>
        <w:ilvl w:val="0"/>
        <w:numId w:val="23"/>
      </w:numPr>
      <w:ind w:firstLine="0" w:firstLineChars="0"/>
    </w:pPr>
    <w:rPr>
      <w:rFonts w:ascii="Times New Roman" w:cs="Arial"/>
      <w:szCs w:val="28"/>
    </w:rPr>
  </w:style>
  <w:style w:type="paragraph" w:customStyle="1" w:styleId="173">
    <w:name w:val="标准文件_小写罗马数字编号列项"/>
    <w:basedOn w:val="60"/>
    <w:qFormat/>
    <w:uiPriority w:val="0"/>
    <w:pPr>
      <w:numPr>
        <w:ilvl w:val="0"/>
        <w:numId w:val="24"/>
      </w:numPr>
      <w:ind w:firstLine="0" w:firstLineChars="0"/>
    </w:pPr>
    <w:rPr>
      <w:rFonts w:cs="Arial"/>
      <w:szCs w:val="28"/>
    </w:rPr>
  </w:style>
  <w:style w:type="paragraph" w:customStyle="1" w:styleId="174">
    <w:name w:val="标准文件_附录标题"/>
    <w:basedOn w:val="80"/>
    <w:qFormat/>
    <w:uiPriority w:val="0"/>
    <w:pPr>
      <w:numPr>
        <w:numId w:val="0"/>
      </w:numPr>
      <w:spacing w:after="280"/>
      <w:outlineLvl w:val="9"/>
    </w:pPr>
  </w:style>
  <w:style w:type="paragraph" w:customStyle="1" w:styleId="175">
    <w:name w:val="标准文件_二级项"/>
    <w:qFormat/>
    <w:uiPriority w:val="0"/>
    <w:rPr>
      <w:rFonts w:ascii="宋体" w:hAnsi="Times New Roman" w:eastAsia="宋体" w:cs="Times New Roman"/>
      <w:sz w:val="21"/>
      <w:lang w:val="en-US" w:eastAsia="zh-CN" w:bidi="ar-SA"/>
    </w:rPr>
  </w:style>
  <w:style w:type="paragraph" w:customStyle="1" w:styleId="176">
    <w:name w:val="标准文件_三级项"/>
    <w:basedOn w:val="1"/>
    <w:qFormat/>
    <w:uiPriority w:val="0"/>
    <w:pPr>
      <w:numPr>
        <w:ilvl w:val="2"/>
        <w:numId w:val="21"/>
      </w:numPr>
      <w:spacing w:line="536870612" w:lineRule="auto"/>
    </w:pPr>
    <w:rPr>
      <w:rFonts w:ascii="Times New Roman" w:hAnsi="Times New Roman"/>
    </w:rPr>
  </w:style>
  <w:style w:type="paragraph" w:customStyle="1" w:styleId="177">
    <w:name w:val="图表脚注说明"/>
    <w:basedOn w:val="1"/>
    <w:next w:val="60"/>
    <w:qFormat/>
    <w:uiPriority w:val="0"/>
    <w:pPr>
      <w:numPr>
        <w:ilvl w:val="0"/>
        <w:numId w:val="25"/>
      </w:numPr>
      <w:adjustRightInd/>
      <w:spacing w:line="240" w:lineRule="auto"/>
    </w:pPr>
    <w:rPr>
      <w:rFonts w:ascii="宋体" w:hAnsi="Times New Roman"/>
      <w:sz w:val="18"/>
      <w:szCs w:val="18"/>
    </w:rPr>
  </w:style>
  <w:style w:type="paragraph" w:customStyle="1" w:styleId="178">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9">
    <w:name w:val="标准文件_索引字母"/>
    <w:next w:val="60"/>
    <w:qFormat/>
    <w:uiPriority w:val="0"/>
    <w:pPr>
      <w:jc w:val="center"/>
    </w:pPr>
    <w:rPr>
      <w:rFonts w:ascii="宋体" w:hAnsi="宋体" w:eastAsia="Times New Roman" w:cs="Times New Roman"/>
      <w:b/>
      <w:kern w:val="2"/>
      <w:sz w:val="21"/>
      <w:lang w:val="en-US" w:eastAsia="zh-CN" w:bidi="ar-SA"/>
    </w:rPr>
  </w:style>
  <w:style w:type="paragraph" w:customStyle="1" w:styleId="180">
    <w:name w:val="标准文件_附录前"/>
    <w:next w:val="60"/>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1">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2">
    <w:name w:val="标准文件_表格"/>
    <w:basedOn w:val="60"/>
    <w:qFormat/>
    <w:uiPriority w:val="0"/>
    <w:pPr>
      <w:ind w:firstLine="0" w:firstLineChars="0"/>
      <w:jc w:val="center"/>
    </w:pPr>
    <w:rPr>
      <w:sz w:val="18"/>
    </w:rPr>
  </w:style>
  <w:style w:type="paragraph" w:customStyle="1" w:styleId="183">
    <w:name w:val="标准文件_注："/>
    <w:next w:val="60"/>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5">
    <w:name w:val="标准文件_示例："/>
    <w:next w:val="186"/>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6">
    <w:name w:val="标准文件_示例内容"/>
    <w:basedOn w:val="60"/>
    <w:qFormat/>
    <w:uiPriority w:val="0"/>
    <w:pPr>
      <w:ind w:firstLine="420"/>
    </w:pPr>
    <w:rPr>
      <w:sz w:val="18"/>
    </w:rPr>
  </w:style>
  <w:style w:type="paragraph" w:customStyle="1" w:styleId="187">
    <w:name w:val="标准文件_示例×："/>
    <w:basedOn w:val="1"/>
    <w:next w:val="186"/>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8">
    <w:name w:val="标准文件_段 Char"/>
    <w:link w:val="60"/>
    <w:qFormat/>
    <w:uiPriority w:val="0"/>
    <w:rPr>
      <w:rFonts w:ascii="宋体" w:hAnsi="Times New Roman"/>
      <w:sz w:val="21"/>
    </w:rPr>
  </w:style>
  <w:style w:type="paragraph" w:customStyle="1" w:styleId="189">
    <w:name w:val="标准文件_表格续"/>
    <w:basedOn w:val="60"/>
    <w:next w:val="60"/>
    <w:qFormat/>
    <w:uiPriority w:val="0"/>
    <w:pPr>
      <w:jc w:val="center"/>
    </w:pPr>
    <w:rPr>
      <w:rFonts w:ascii="黑体" w:hAnsi="黑体" w:eastAsia="黑体"/>
    </w:rPr>
  </w:style>
  <w:style w:type="character" w:styleId="190">
    <w:name w:val="Placeholder Text"/>
    <w:basedOn w:val="31"/>
    <w:semiHidden/>
    <w:qFormat/>
    <w:uiPriority w:val="99"/>
    <w:rPr>
      <w:color w:val="808080"/>
    </w:rPr>
  </w:style>
  <w:style w:type="paragraph" w:customStyle="1" w:styleId="191">
    <w:name w:val="标准文件_二级项2"/>
    <w:basedOn w:val="60"/>
    <w:qFormat/>
    <w:uiPriority w:val="0"/>
    <w:pPr>
      <w:numPr>
        <w:ilvl w:val="1"/>
        <w:numId w:val="21"/>
      </w:numPr>
      <w:ind w:firstLine="0" w:firstLineChars="0"/>
    </w:pPr>
  </w:style>
  <w:style w:type="paragraph" w:customStyle="1" w:styleId="192">
    <w:name w:val="标准文件_三级项2"/>
    <w:basedOn w:val="60"/>
    <w:qFormat/>
    <w:uiPriority w:val="0"/>
    <w:pPr>
      <w:numPr>
        <w:ilvl w:val="0"/>
        <w:numId w:val="30"/>
      </w:numPr>
      <w:spacing w:line="300" w:lineRule="exact"/>
      <w:ind w:firstLineChars="0"/>
    </w:pPr>
    <w:rPr>
      <w:rFonts w:ascii="Times New Roman"/>
    </w:rPr>
  </w:style>
  <w:style w:type="paragraph" w:customStyle="1" w:styleId="193">
    <w:name w:val="标准文件_一级项2"/>
    <w:basedOn w:val="60"/>
    <w:qFormat/>
    <w:uiPriority w:val="0"/>
    <w:pPr>
      <w:numPr>
        <w:ilvl w:val="0"/>
        <w:numId w:val="31"/>
      </w:numPr>
      <w:spacing w:line="300" w:lineRule="exact"/>
      <w:ind w:firstLineChars="0"/>
    </w:pPr>
    <w:rPr>
      <w:rFonts w:ascii="Times New Roman"/>
    </w:rPr>
  </w:style>
  <w:style w:type="paragraph" w:customStyle="1" w:styleId="194">
    <w:name w:val="标准文件_提示"/>
    <w:basedOn w:val="60"/>
    <w:next w:val="60"/>
    <w:qFormat/>
    <w:uiPriority w:val="0"/>
    <w:pPr>
      <w:ind w:firstLine="420"/>
    </w:pPr>
    <w:rPr>
      <w:rFonts w:ascii="黑体" w:eastAsia="黑体"/>
    </w:rPr>
  </w:style>
  <w:style w:type="character" w:customStyle="1" w:styleId="195">
    <w:name w:val="标准文件_来源"/>
    <w:basedOn w:val="31"/>
    <w:qFormat/>
    <w:uiPriority w:val="1"/>
    <w:rPr>
      <w:rFonts w:eastAsia="宋体"/>
      <w:sz w:val="21"/>
    </w:rPr>
  </w:style>
  <w:style w:type="paragraph" w:customStyle="1" w:styleId="196">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7">
    <w:name w:val="其他发布日期"/>
    <w:basedOn w:val="124"/>
    <w:qFormat/>
    <w:uiPriority w:val="0"/>
    <w:pPr>
      <w:framePr w:w="3997" w:h="471" w:hRule="exact" w:hSpace="0" w:vSpace="181" w:wrap="around" w:vAnchor="page" w:hAnchor="page" w:x="1419" w:y="14097"/>
    </w:pPr>
  </w:style>
  <w:style w:type="paragraph" w:customStyle="1" w:styleId="198">
    <w:name w:val="其他实施日期"/>
    <w:basedOn w:val="158"/>
    <w:qFormat/>
    <w:uiPriority w:val="0"/>
    <w:pPr>
      <w:framePr w:w="3997" w:h="471" w:hRule="exact" w:vSpace="181" w:wrap="around" w:vAnchor="page" w:hAnchor="page" w:x="7089" w:y="14097"/>
    </w:pPr>
  </w:style>
  <w:style w:type="paragraph" w:customStyle="1" w:styleId="199">
    <w:name w:val="标准文件_文件编号"/>
    <w:basedOn w:val="60"/>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200">
    <w:name w:val="标准文件_替换文件编号"/>
    <w:basedOn w:val="199"/>
    <w:qFormat/>
    <w:uiPriority w:val="0"/>
    <w:pPr>
      <w:spacing w:before="57"/>
    </w:pPr>
    <w:rPr>
      <w:sz w:val="21"/>
    </w:rPr>
  </w:style>
  <w:style w:type="paragraph" w:customStyle="1" w:styleId="201">
    <w:name w:val="标准文件_文件名称"/>
    <w:basedOn w:val="60"/>
    <w:next w:val="60"/>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2">
    <w:name w:val="标准文件_附录图标号"/>
    <w:basedOn w:val="60"/>
    <w:next w:val="60"/>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3">
    <w:name w:val="标准文件_附录表标号"/>
    <w:basedOn w:val="60"/>
    <w:next w:val="60"/>
    <w:qFormat/>
    <w:uiPriority w:val="0"/>
    <w:pPr>
      <w:numPr>
        <w:ilvl w:val="0"/>
        <w:numId w:val="5"/>
      </w:numPr>
      <w:spacing w:line="14" w:lineRule="exact"/>
      <w:ind w:firstLine="0" w:firstLineChars="0"/>
      <w:jc w:val="center"/>
    </w:pPr>
    <w:rPr>
      <w:rFonts w:eastAsia="黑体"/>
      <w:vanish/>
      <w:sz w:val="2"/>
    </w:rPr>
  </w:style>
  <w:style w:type="paragraph" w:customStyle="1" w:styleId="204">
    <w:name w:val="标准文件_引言一级条标题"/>
    <w:basedOn w:val="60"/>
    <w:next w:val="60"/>
    <w:qFormat/>
    <w:uiPriority w:val="0"/>
    <w:pPr>
      <w:numPr>
        <w:ilvl w:val="1"/>
        <w:numId w:val="8"/>
      </w:numPr>
      <w:spacing w:before="50" w:beforeLines="50" w:after="50" w:afterLines="50"/>
      <w:ind w:firstLineChars="0"/>
    </w:pPr>
    <w:rPr>
      <w:rFonts w:ascii="黑体" w:eastAsia="黑体"/>
    </w:rPr>
  </w:style>
  <w:style w:type="paragraph" w:customStyle="1" w:styleId="205">
    <w:name w:val="标准文件_引言二级条标题"/>
    <w:basedOn w:val="60"/>
    <w:next w:val="60"/>
    <w:qFormat/>
    <w:uiPriority w:val="0"/>
    <w:pPr>
      <w:numPr>
        <w:ilvl w:val="2"/>
        <w:numId w:val="8"/>
      </w:numPr>
      <w:spacing w:before="50" w:beforeLines="50" w:after="50" w:afterLines="50"/>
      <w:ind w:firstLineChars="0"/>
    </w:pPr>
    <w:rPr>
      <w:rFonts w:ascii="黑体" w:eastAsia="黑体"/>
    </w:rPr>
  </w:style>
  <w:style w:type="paragraph" w:customStyle="1" w:styleId="206">
    <w:name w:val="标准文件_引言三级条标题"/>
    <w:basedOn w:val="60"/>
    <w:next w:val="60"/>
    <w:qFormat/>
    <w:uiPriority w:val="0"/>
    <w:pPr>
      <w:numPr>
        <w:ilvl w:val="3"/>
        <w:numId w:val="8"/>
      </w:numPr>
      <w:spacing w:before="50" w:beforeLines="50" w:after="50" w:afterLines="50"/>
      <w:ind w:firstLineChars="0"/>
    </w:pPr>
    <w:rPr>
      <w:rFonts w:ascii="黑体" w:eastAsia="黑体"/>
    </w:rPr>
  </w:style>
  <w:style w:type="paragraph" w:customStyle="1" w:styleId="207">
    <w:name w:val="标准文件_引言四级条标题"/>
    <w:basedOn w:val="60"/>
    <w:next w:val="60"/>
    <w:qFormat/>
    <w:uiPriority w:val="0"/>
    <w:pPr>
      <w:numPr>
        <w:ilvl w:val="4"/>
        <w:numId w:val="8"/>
      </w:numPr>
      <w:spacing w:before="50" w:beforeLines="50" w:after="50" w:afterLines="50"/>
      <w:ind w:firstLineChars="0"/>
    </w:pPr>
    <w:rPr>
      <w:rFonts w:ascii="黑体" w:eastAsia="黑体"/>
    </w:rPr>
  </w:style>
  <w:style w:type="paragraph" w:customStyle="1" w:styleId="208">
    <w:name w:val="标准文件_引言五级条标题"/>
    <w:basedOn w:val="60"/>
    <w:next w:val="60"/>
    <w:qFormat/>
    <w:uiPriority w:val="0"/>
    <w:pPr>
      <w:numPr>
        <w:ilvl w:val="5"/>
        <w:numId w:val="8"/>
      </w:numPr>
      <w:spacing w:before="50" w:beforeLines="50" w:after="50" w:afterLines="50"/>
      <w:ind w:firstLineChars="0"/>
    </w:pPr>
    <w:rPr>
      <w:rFonts w:ascii="黑体" w:eastAsia="黑体"/>
    </w:rPr>
  </w:style>
  <w:style w:type="paragraph" w:customStyle="1" w:styleId="209">
    <w:name w:val="标准文件_注后"/>
    <w:basedOn w:val="60"/>
    <w:qFormat/>
    <w:uiPriority w:val="0"/>
    <w:pPr>
      <w:ind w:left="811" w:firstLine="0" w:firstLineChars="0"/>
    </w:pPr>
    <w:rPr>
      <w:sz w:val="18"/>
    </w:rPr>
  </w:style>
  <w:style w:type="paragraph" w:customStyle="1" w:styleId="210">
    <w:name w:val="标准文件_注X后"/>
    <w:basedOn w:val="60"/>
    <w:qFormat/>
    <w:uiPriority w:val="0"/>
    <w:pPr>
      <w:ind w:left="811" w:firstLine="0" w:firstLineChars="0"/>
    </w:pPr>
    <w:rPr>
      <w:sz w:val="18"/>
    </w:rPr>
  </w:style>
  <w:style w:type="paragraph" w:customStyle="1" w:styleId="211">
    <w:name w:val="标准文件_示例后"/>
    <w:basedOn w:val="60"/>
    <w:qFormat/>
    <w:uiPriority w:val="0"/>
    <w:pPr>
      <w:ind w:left="964" w:firstLine="0" w:firstLineChars="0"/>
    </w:pPr>
    <w:rPr>
      <w:sz w:val="18"/>
    </w:rPr>
  </w:style>
  <w:style w:type="paragraph" w:customStyle="1" w:styleId="212">
    <w:name w:val="标准文件_示例X后"/>
    <w:basedOn w:val="60"/>
    <w:link w:val="213"/>
    <w:qFormat/>
    <w:uiPriority w:val="0"/>
    <w:pPr>
      <w:ind w:left="1049" w:firstLine="0" w:firstLineChars="0"/>
    </w:pPr>
    <w:rPr>
      <w:sz w:val="18"/>
    </w:rPr>
  </w:style>
  <w:style w:type="character" w:customStyle="1" w:styleId="213">
    <w:name w:val="标准文件_示例X后 字符"/>
    <w:basedOn w:val="188"/>
    <w:link w:val="212"/>
    <w:qFormat/>
    <w:uiPriority w:val="0"/>
    <w:rPr>
      <w:rFonts w:ascii="宋体" w:hAnsi="Times New Roman"/>
      <w:sz w:val="18"/>
    </w:rPr>
  </w:style>
  <w:style w:type="paragraph" w:customStyle="1" w:styleId="214">
    <w:name w:val="标准文件_索引项"/>
    <w:basedOn w:val="60"/>
    <w:next w:val="60"/>
    <w:qFormat/>
    <w:uiPriority w:val="0"/>
    <w:pPr>
      <w:tabs>
        <w:tab w:val="right" w:leader="dot" w:pos="9356"/>
      </w:tabs>
      <w:ind w:left="210" w:hanging="210" w:firstLineChars="0"/>
      <w:jc w:val="left"/>
    </w:pPr>
  </w:style>
  <w:style w:type="paragraph" w:customStyle="1" w:styleId="215">
    <w:name w:val="标准文件_附录一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二级无标题"/>
    <w:basedOn w:val="83"/>
    <w:qFormat/>
    <w:uiPriority w:val="0"/>
    <w:pPr>
      <w:spacing w:before="0" w:beforeLines="0" w:after="0" w:afterLines="0" w:line="276" w:lineRule="auto"/>
      <w:outlineLvl w:val="9"/>
    </w:pPr>
    <w:rPr>
      <w:rFonts w:ascii="宋体" w:eastAsia="宋体"/>
    </w:rPr>
  </w:style>
  <w:style w:type="paragraph" w:customStyle="1" w:styleId="217">
    <w:name w:val="标准文件_附录三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四级无标题"/>
    <w:basedOn w:val="86"/>
    <w:qFormat/>
    <w:uiPriority w:val="0"/>
    <w:pPr>
      <w:spacing w:before="0" w:beforeLines="0" w:after="0" w:afterLines="0" w:line="276" w:lineRule="auto"/>
      <w:outlineLvl w:val="9"/>
    </w:pPr>
    <w:rPr>
      <w:rFonts w:ascii="宋体" w:eastAsia="宋体"/>
    </w:rPr>
  </w:style>
  <w:style w:type="paragraph" w:customStyle="1" w:styleId="219">
    <w:name w:val="标准文件_附录五级无标题"/>
    <w:basedOn w:val="88"/>
    <w:qFormat/>
    <w:uiPriority w:val="0"/>
    <w:pPr>
      <w:spacing w:before="0" w:beforeLines="0" w:after="0" w:afterLines="0" w:line="276" w:lineRule="auto"/>
      <w:outlineLvl w:val="9"/>
    </w:pPr>
    <w:rPr>
      <w:rFonts w:ascii="宋体" w:eastAsia="宋体"/>
    </w:rPr>
  </w:style>
  <w:style w:type="paragraph" w:customStyle="1" w:styleId="220">
    <w:name w:val="标准文件_引言一级无标题"/>
    <w:basedOn w:val="204"/>
    <w:next w:val="60"/>
    <w:qFormat/>
    <w:uiPriority w:val="0"/>
    <w:pPr>
      <w:spacing w:before="0" w:beforeLines="0" w:after="0" w:afterLines="0" w:line="276" w:lineRule="auto"/>
    </w:pPr>
    <w:rPr>
      <w:rFonts w:ascii="宋体" w:eastAsia="宋体"/>
    </w:rPr>
  </w:style>
  <w:style w:type="paragraph" w:customStyle="1" w:styleId="221">
    <w:name w:val="标准文件_引言二级无标题"/>
    <w:basedOn w:val="205"/>
    <w:next w:val="60"/>
    <w:qFormat/>
    <w:uiPriority w:val="0"/>
    <w:pPr>
      <w:spacing w:before="0" w:beforeLines="0" w:after="0" w:afterLines="0" w:line="276" w:lineRule="auto"/>
    </w:pPr>
    <w:rPr>
      <w:rFonts w:ascii="宋体" w:eastAsia="宋体"/>
    </w:rPr>
  </w:style>
  <w:style w:type="paragraph" w:customStyle="1" w:styleId="222">
    <w:name w:val="标准文件_引言三级无标题"/>
    <w:basedOn w:val="206"/>
    <w:qFormat/>
    <w:uiPriority w:val="0"/>
    <w:pPr>
      <w:spacing w:before="0" w:beforeLines="0" w:after="0" w:afterLines="0" w:line="276" w:lineRule="auto"/>
    </w:pPr>
    <w:rPr>
      <w:rFonts w:ascii="宋体" w:eastAsia="宋体"/>
    </w:rPr>
  </w:style>
  <w:style w:type="paragraph" w:customStyle="1" w:styleId="223">
    <w:name w:val="标准文件_引言四级无标题"/>
    <w:basedOn w:val="207"/>
    <w:next w:val="60"/>
    <w:qFormat/>
    <w:uiPriority w:val="0"/>
    <w:pPr>
      <w:spacing w:before="0" w:beforeLines="0" w:after="0" w:afterLines="0" w:line="276" w:lineRule="auto"/>
    </w:pPr>
    <w:rPr>
      <w:rFonts w:ascii="宋体" w:eastAsia="宋体"/>
    </w:rPr>
  </w:style>
  <w:style w:type="paragraph" w:customStyle="1" w:styleId="224">
    <w:name w:val="标准文件_引言五级无标题"/>
    <w:basedOn w:val="208"/>
    <w:next w:val="60"/>
    <w:qFormat/>
    <w:uiPriority w:val="0"/>
    <w:pPr>
      <w:spacing w:before="0" w:beforeLines="0" w:after="0" w:afterLines="0" w:line="276" w:lineRule="auto"/>
    </w:pPr>
    <w:rPr>
      <w:rFonts w:ascii="宋体" w:eastAsia="宋体"/>
    </w:rPr>
  </w:style>
  <w:style w:type="paragraph" w:customStyle="1" w:styleId="225">
    <w:name w:val="标准文件_索引标题"/>
    <w:basedOn w:val="67"/>
    <w:next w:val="60"/>
    <w:qFormat/>
    <w:uiPriority w:val="0"/>
    <w:rPr>
      <w:rFonts w:hAnsi="黑体"/>
    </w:rPr>
  </w:style>
  <w:style w:type="paragraph" w:customStyle="1" w:styleId="226">
    <w:name w:val="标准文件_脚注内容"/>
    <w:basedOn w:val="60"/>
    <w:qFormat/>
    <w:uiPriority w:val="0"/>
    <w:pPr>
      <w:ind w:left="400" w:leftChars="200" w:hanging="200" w:hangingChars="200"/>
    </w:pPr>
    <w:rPr>
      <w:sz w:val="15"/>
    </w:rPr>
  </w:style>
  <w:style w:type="paragraph" w:customStyle="1" w:styleId="227">
    <w:name w:val="标准文件_术语条一"/>
    <w:basedOn w:val="166"/>
    <w:next w:val="60"/>
    <w:qFormat/>
    <w:uiPriority w:val="0"/>
  </w:style>
  <w:style w:type="paragraph" w:customStyle="1" w:styleId="228">
    <w:name w:val="标准文件_术语条二"/>
    <w:basedOn w:val="169"/>
    <w:next w:val="60"/>
    <w:qFormat/>
    <w:uiPriority w:val="0"/>
  </w:style>
  <w:style w:type="paragraph" w:customStyle="1" w:styleId="229">
    <w:name w:val="标准文件_术语条三"/>
    <w:basedOn w:val="168"/>
    <w:next w:val="60"/>
    <w:qFormat/>
    <w:uiPriority w:val="0"/>
  </w:style>
  <w:style w:type="paragraph" w:customStyle="1" w:styleId="230">
    <w:name w:val="标准文件_术语条四"/>
    <w:basedOn w:val="171"/>
    <w:next w:val="60"/>
    <w:qFormat/>
    <w:uiPriority w:val="0"/>
  </w:style>
  <w:style w:type="paragraph" w:customStyle="1" w:styleId="231">
    <w:name w:val="标准文件_术语条五"/>
    <w:basedOn w:val="167"/>
    <w:next w:val="60"/>
    <w:qFormat/>
    <w:uiPriority w:val="0"/>
  </w:style>
  <w:style w:type="paragraph" w:customStyle="1" w:styleId="232">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3">
    <w:name w:val="发布"/>
    <w:basedOn w:val="31"/>
    <w:qFormat/>
    <w:uiPriority w:val="0"/>
    <w:rPr>
      <w:rFonts w:ascii="黑体" w:eastAsia="黑体"/>
      <w:spacing w:val="85"/>
      <w:w w:val="100"/>
      <w:position w:val="3"/>
      <w:sz w:val="28"/>
      <w:szCs w:val="28"/>
    </w:rPr>
  </w:style>
  <w:style w:type="character" w:customStyle="1" w:styleId="234">
    <w:name w:val="批注文字 字符"/>
    <w:basedOn w:val="31"/>
    <w:link w:val="13"/>
    <w:qFormat/>
    <w:uiPriority w:val="99"/>
    <w:rPr>
      <w:kern w:val="2"/>
      <w:sz w:val="21"/>
      <w:szCs w:val="21"/>
    </w:rPr>
  </w:style>
  <w:style w:type="character" w:customStyle="1" w:styleId="235">
    <w:name w:val="批注主题 字符"/>
    <w:basedOn w:val="234"/>
    <w:link w:val="28"/>
    <w:semiHidden/>
    <w:qFormat/>
    <w:uiPriority w:val="99"/>
    <w:rPr>
      <w:b/>
      <w:bCs/>
      <w:kern w:val="2"/>
      <w:sz w:val="21"/>
      <w:szCs w:val="21"/>
    </w:rPr>
  </w:style>
  <w:style w:type="paragraph" w:customStyle="1" w:styleId="236">
    <w:name w:val="段"/>
    <w:basedOn w:val="1"/>
    <w:qFormat/>
    <w:uiPriority w:val="0"/>
    <w:pPr>
      <w:widowControl/>
      <w:autoSpaceDE w:val="0"/>
      <w:autoSpaceDN w:val="0"/>
      <w:adjustRightInd/>
      <w:spacing w:line="240" w:lineRule="auto"/>
      <w:ind w:firstLine="420" w:firstLineChars="200"/>
    </w:pPr>
    <w:rPr>
      <w:rFonts w:ascii="宋体" w:hAnsi="Times New Roman"/>
      <w:kern w:val="0"/>
    </w:rPr>
  </w:style>
  <w:style w:type="paragraph" w:customStyle="1" w:styleId="237">
    <w:name w:val="Table Text"/>
    <w:basedOn w:val="1"/>
    <w:semiHidden/>
    <w:qFormat/>
    <w:uiPriority w:val="0"/>
    <w:rPr>
      <w:rFonts w:ascii="宋体" w:hAnsi="宋体" w:cs="宋体"/>
      <w:sz w:val="18"/>
      <w:szCs w:val="18"/>
      <w:lang w:eastAsia="en-US"/>
    </w:rPr>
  </w:style>
  <w:style w:type="table" w:customStyle="1" w:styleId="238">
    <w:name w:val="Table Normal"/>
    <w:semiHidden/>
    <w:unhideWhenUsed/>
    <w:qFormat/>
    <w:uiPriority w:val="0"/>
    <w:tblPr>
      <w:tblCellMar>
        <w:top w:w="0" w:type="dxa"/>
        <w:left w:w="0" w:type="dxa"/>
        <w:bottom w:w="0" w:type="dxa"/>
        <w:right w:w="0" w:type="dxa"/>
      </w:tblCellMar>
    </w:tblPr>
  </w:style>
  <w:style w:type="paragraph" w:customStyle="1" w:styleId="239">
    <w:name w:val="段落"/>
    <w:qFormat/>
    <w:uiPriority w:val="0"/>
    <w:pPr>
      <w:autoSpaceDE w:val="0"/>
      <w:autoSpaceDN w:val="0"/>
      <w:ind w:firstLine="420" w:firstLineChars="200"/>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glossaryDocument" Target="glossary/document.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4.jpe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7A21B029DB454661A2539B57A4F9B480"/>
        <w:style w:val=""/>
        <w:category>
          <w:name w:val="常规"/>
          <w:gallery w:val="placeholder"/>
        </w:category>
        <w:types>
          <w:type w:val="bbPlcHdr"/>
        </w:types>
        <w:behaviors>
          <w:behavior w:val="content"/>
        </w:behaviors>
        <w:description w:val=""/>
        <w:guid w:val="{FE08FA4B-E5F6-4CB1-A91C-52DF52419C59}"/>
      </w:docPartPr>
      <w:docPartBody>
        <w:p w14:paraId="079F173E">
          <w:pPr>
            <w:pStyle w:val="5"/>
            <w:rPr>
              <w:rFonts w:hint="eastAsia"/>
            </w:rPr>
          </w:pPr>
          <w:r>
            <w:rPr>
              <w:rStyle w:val="4"/>
              <w:rFonts w:hint="eastAsia"/>
            </w:rPr>
            <w:t>选择一项。</w:t>
          </w:r>
        </w:p>
      </w:docPartBody>
    </w:docPart>
    <w:docPart>
      <w:docPartPr>
        <w:name w:val="{c90a40af-dcdc-4f99-aeae-861f5d7e8b7b}"/>
        <w:style w:val=""/>
        <w:category>
          <w:name w:val="常规"/>
          <w:gallery w:val="placeholder"/>
        </w:category>
        <w:types>
          <w:type w:val="bbPlcHdr"/>
        </w:types>
        <w:behaviors>
          <w:behavior w:val="content"/>
        </w:behaviors>
        <w:description w:val=""/>
        <w:guid w:val="{C90A40AF-DCDC-4F99-AEAE-861F5D7E8B7B}"/>
      </w:docPartPr>
      <w:docPartBody>
        <w:p w14:paraId="3EEA0594">
          <w:pPr>
            <w:pStyle w:val="6"/>
            <w:rPr>
              <w:rFonts w:hint="eastAsia"/>
            </w:rPr>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63"/>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CF3"/>
    <w:rsid w:val="000B595D"/>
    <w:rsid w:val="000D3261"/>
    <w:rsid w:val="0018250E"/>
    <w:rsid w:val="00196583"/>
    <w:rsid w:val="001A36B7"/>
    <w:rsid w:val="002352F4"/>
    <w:rsid w:val="002621BD"/>
    <w:rsid w:val="00265BED"/>
    <w:rsid w:val="0035502A"/>
    <w:rsid w:val="00531F70"/>
    <w:rsid w:val="00550635"/>
    <w:rsid w:val="005A0A97"/>
    <w:rsid w:val="00670C6A"/>
    <w:rsid w:val="007A4D58"/>
    <w:rsid w:val="008209AD"/>
    <w:rsid w:val="00892CF3"/>
    <w:rsid w:val="008B12A3"/>
    <w:rsid w:val="008E03FF"/>
    <w:rsid w:val="0094473E"/>
    <w:rsid w:val="0098474A"/>
    <w:rsid w:val="00992C40"/>
    <w:rsid w:val="00A13F4D"/>
    <w:rsid w:val="00AE1972"/>
    <w:rsid w:val="00B57D22"/>
    <w:rsid w:val="00C22042"/>
    <w:rsid w:val="00C7569E"/>
    <w:rsid w:val="00D908BE"/>
    <w:rsid w:val="00FD7B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7A21B029DB454661A2539B57A4F9B48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21EE55D61E7C4217883D433F8BB1F88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C72C0C-C2FC-46E0-A977-2D8734991DCB}">
  <ds:schemaRefs/>
</ds:datastoreItem>
</file>

<file path=docProps/app.xml><?xml version="1.0" encoding="utf-8"?>
<Properties xmlns="http://schemas.openxmlformats.org/officeDocument/2006/extended-properties" xmlns:vt="http://schemas.openxmlformats.org/officeDocument/2006/docPropsVTypes">
  <Template>团体标准</Template>
  <Company>PCMI</Company>
  <Pages>30</Pages>
  <Words>17140</Words>
  <Characters>17541</Characters>
  <Lines>618</Lines>
  <Paragraphs>773</Paragraphs>
  <TotalTime>2</TotalTime>
  <ScaleCrop>false</ScaleCrop>
  <LinksUpToDate>false</LinksUpToDate>
  <CharactersWithSpaces>17740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2024-04-02T02:04:00Z</dcterms:created>
  <dc:creator>WuYong</dc:creator>
  <dc:description>&lt;config cover="true" show_menu="true" version="1.0.0" doctype="SDKXY"&gt;_x000d_
&lt;/config&gt;</dc:description>
  <cp:lastModifiedBy>吴勇</cp:lastModifiedBy>
  <cp:lastPrinted>2021-02-02T08:22:00Z</cp:lastPrinted>
  <dcterms:modified xsi:type="dcterms:W3CDTF">2025-07-07T09:05:36Z</dcterms:modified>
  <dc:title>团体标准</dc:title>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2052-12.1.0.21915</vt:lpwstr>
  </property>
  <property fmtid="{D5CDD505-2E9C-101B-9397-08002B2CF9AE}" pid="15" name="ICV">
    <vt:lpwstr>1413075D30364486BE5D2A74299258C7_13</vt:lpwstr>
  </property>
  <property fmtid="{D5CDD505-2E9C-101B-9397-08002B2CF9AE}" pid="16" name="KSOTemplateDocerSaveRecord">
    <vt:lpwstr>eyJoZGlkIjoiODIwN2QzZWEyYWIxODZiZjA0MjIwNjBlZjFkMjk4NWYiLCJ1c2VySWQiOiIyOTY3MzMxOSJ9</vt:lpwstr>
  </property>
</Properties>
</file>